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D7C" w:rsidRDefault="002E3D7C" w:rsidP="002E3D7C">
      <w:pPr>
        <w:widowControl/>
        <w:spacing w:line="360" w:lineRule="auto"/>
        <w:jc w:val="center"/>
        <w:rPr>
          <w:rFonts w:ascii="標楷體" w:eastAsia="標楷體" w:hAnsi="標楷體"/>
          <w:sz w:val="32"/>
          <w:szCs w:val="72"/>
        </w:rPr>
      </w:pPr>
      <w:r w:rsidRPr="002E3D7C">
        <w:rPr>
          <w:rFonts w:ascii="標楷體" w:eastAsia="標楷體" w:hAnsi="標楷體" w:hint="eastAsia"/>
          <w:b/>
          <w:sz w:val="32"/>
          <w:szCs w:val="72"/>
        </w:rPr>
        <w:t>四維學校財團法人花蓮縣四維高級中學</w:t>
      </w:r>
      <w:bookmarkStart w:id="0" w:name="_Toc393197764"/>
      <w:bookmarkStart w:id="1" w:name="_Toc393789464"/>
      <w:r w:rsidR="002A6305" w:rsidRPr="002E3D7C">
        <w:rPr>
          <w:rFonts w:ascii="標楷體" w:eastAsia="標楷體" w:hAnsi="標楷體"/>
          <w:sz w:val="32"/>
          <w:szCs w:val="72"/>
        </w:rPr>
        <w:t>安全衛生工作守則</w:t>
      </w:r>
      <w:bookmarkStart w:id="2" w:name="_Toc393197766"/>
      <w:bookmarkStart w:id="3" w:name="_Toc393789465"/>
      <w:bookmarkEnd w:id="0"/>
      <w:bookmarkEnd w:id="1"/>
    </w:p>
    <w:p w:rsidR="002E3D7C" w:rsidRPr="00E44717" w:rsidRDefault="002E3D7C" w:rsidP="002E3D7C">
      <w:pPr>
        <w:pStyle w:val="ad"/>
        <w:spacing w:line="276" w:lineRule="auto"/>
        <w:ind w:left="57"/>
        <w:jc w:val="right"/>
        <w:rPr>
          <w:rFonts w:eastAsia="標楷體"/>
          <w:b/>
          <w:sz w:val="20"/>
          <w:szCs w:val="20"/>
        </w:rPr>
      </w:pPr>
      <w:r>
        <w:rPr>
          <w:rFonts w:eastAsia="標楷體" w:hint="eastAsia"/>
          <w:sz w:val="16"/>
          <w:szCs w:val="16"/>
        </w:rPr>
        <w:t>112</w:t>
      </w:r>
      <w:r>
        <w:rPr>
          <w:rFonts w:eastAsia="標楷體" w:hint="eastAsia"/>
          <w:sz w:val="16"/>
          <w:szCs w:val="16"/>
        </w:rPr>
        <w:t>年</w:t>
      </w:r>
      <w:r>
        <w:rPr>
          <w:rFonts w:eastAsia="標楷體" w:hint="eastAsia"/>
          <w:sz w:val="16"/>
          <w:szCs w:val="16"/>
        </w:rPr>
        <w:t>08</w:t>
      </w:r>
      <w:r>
        <w:rPr>
          <w:rFonts w:eastAsia="標楷體" w:hint="eastAsia"/>
          <w:sz w:val="16"/>
          <w:szCs w:val="16"/>
        </w:rPr>
        <w:t>月</w:t>
      </w:r>
      <w:r>
        <w:rPr>
          <w:rFonts w:eastAsia="標楷體" w:hint="eastAsia"/>
          <w:sz w:val="16"/>
          <w:szCs w:val="16"/>
        </w:rPr>
        <w:t>2</w:t>
      </w:r>
      <w:r w:rsidR="003E68CF">
        <w:rPr>
          <w:rFonts w:eastAsia="標楷體" w:hint="eastAsia"/>
          <w:sz w:val="16"/>
          <w:szCs w:val="16"/>
        </w:rPr>
        <w:t>8</w:t>
      </w:r>
      <w:bookmarkStart w:id="4" w:name="_GoBack"/>
      <w:bookmarkEnd w:id="4"/>
      <w:r>
        <w:rPr>
          <w:rFonts w:eastAsia="標楷體" w:hint="eastAsia"/>
          <w:sz w:val="16"/>
          <w:szCs w:val="16"/>
        </w:rPr>
        <w:t>日</w:t>
      </w:r>
      <w:r w:rsidR="00C56930">
        <w:rPr>
          <w:rFonts w:eastAsia="標楷體" w:hint="eastAsia"/>
          <w:sz w:val="16"/>
          <w:szCs w:val="16"/>
        </w:rPr>
        <w:t>校務</w:t>
      </w:r>
      <w:r>
        <w:rPr>
          <w:rFonts w:eastAsia="標楷體" w:hint="eastAsia"/>
          <w:sz w:val="16"/>
          <w:szCs w:val="16"/>
        </w:rPr>
        <w:t>會議通過</w:t>
      </w:r>
    </w:p>
    <w:p w:rsidR="00B86D4C" w:rsidRDefault="002A6305" w:rsidP="002E3D7C">
      <w:pPr>
        <w:widowControl/>
        <w:spacing w:line="360" w:lineRule="auto"/>
      </w:pPr>
      <w:r>
        <w:rPr>
          <w:rFonts w:ascii="標楷體" w:eastAsia="標楷體" w:hAnsi="標楷體"/>
          <w:b/>
          <w:sz w:val="28"/>
          <w:szCs w:val="28"/>
        </w:rPr>
        <w:t>壹章</w:t>
      </w:r>
      <w:r>
        <w:rPr>
          <w:rFonts w:ascii="標楷體" w:eastAsia="標楷體" w:hAnsi="標楷體"/>
          <w:b/>
          <w:sz w:val="28"/>
          <w:szCs w:val="28"/>
        </w:rPr>
        <w:tab/>
        <w:t xml:space="preserve"> 總則</w:t>
      </w:r>
    </w:p>
    <w:p w:rsidR="00B86D4C" w:rsidRDefault="002A6305">
      <w:pPr>
        <w:pStyle w:val="ad"/>
        <w:numPr>
          <w:ilvl w:val="0"/>
          <w:numId w:val="3"/>
        </w:numPr>
        <w:snapToGrid w:val="0"/>
        <w:spacing w:line="360" w:lineRule="auto"/>
        <w:ind w:left="1134" w:hanging="1134"/>
        <w:jc w:val="both"/>
        <w:rPr>
          <w:rFonts w:ascii="Times New Roman" w:eastAsia="標楷體" w:hAnsi="Times New Roman"/>
          <w:sz w:val="28"/>
          <w:szCs w:val="28"/>
        </w:rPr>
      </w:pPr>
      <w:r>
        <w:rPr>
          <w:rFonts w:ascii="Times New Roman" w:eastAsia="標楷體" w:hAnsi="Times New Roman"/>
          <w:sz w:val="28"/>
          <w:szCs w:val="28"/>
        </w:rPr>
        <w:t>本校為保障工作者安全與健康，防止職業災害發生，依據職業安全衛生法第</w:t>
      </w:r>
      <w:r>
        <w:rPr>
          <w:rFonts w:ascii="Times New Roman" w:eastAsia="標楷體" w:hAnsi="Times New Roman"/>
          <w:sz w:val="28"/>
          <w:szCs w:val="28"/>
        </w:rPr>
        <w:t>34</w:t>
      </w:r>
      <w:r>
        <w:rPr>
          <w:rFonts w:ascii="Times New Roman" w:eastAsia="標楷體" w:hAnsi="Times New Roman"/>
          <w:sz w:val="28"/>
          <w:szCs w:val="28"/>
        </w:rPr>
        <w:t>條規定，特訂定本守則。</w:t>
      </w:r>
    </w:p>
    <w:p w:rsidR="00B86D4C" w:rsidRDefault="002A6305">
      <w:pPr>
        <w:pStyle w:val="ad"/>
        <w:numPr>
          <w:ilvl w:val="0"/>
          <w:numId w:val="3"/>
        </w:numPr>
        <w:snapToGrid w:val="0"/>
        <w:spacing w:line="360" w:lineRule="auto"/>
        <w:ind w:left="1134" w:hanging="1134"/>
        <w:jc w:val="both"/>
        <w:rPr>
          <w:rFonts w:ascii="Times New Roman" w:eastAsia="標楷體" w:hAnsi="Times New Roman"/>
          <w:sz w:val="28"/>
          <w:szCs w:val="28"/>
        </w:rPr>
      </w:pPr>
      <w:r>
        <w:rPr>
          <w:rFonts w:ascii="Times New Roman" w:eastAsia="標楷體" w:hAnsi="Times New Roman"/>
          <w:sz w:val="28"/>
          <w:szCs w:val="28"/>
        </w:rPr>
        <w:t>本守則用詞：</w:t>
      </w:r>
    </w:p>
    <w:p w:rsidR="00B86D4C" w:rsidRDefault="002A6305">
      <w:pPr>
        <w:pStyle w:val="ad"/>
        <w:numPr>
          <w:ilvl w:val="0"/>
          <w:numId w:val="4"/>
        </w:numPr>
        <w:tabs>
          <w:tab w:val="left" w:pos="1918"/>
        </w:tabs>
        <w:snapToGrid w:val="0"/>
        <w:spacing w:line="360" w:lineRule="auto"/>
        <w:ind w:left="1985" w:hanging="716"/>
        <w:jc w:val="both"/>
        <w:rPr>
          <w:rFonts w:ascii="標楷體" w:eastAsia="標楷體" w:hAnsi="標楷體"/>
          <w:sz w:val="28"/>
          <w:szCs w:val="28"/>
        </w:rPr>
      </w:pPr>
      <w:r>
        <w:rPr>
          <w:rFonts w:ascii="標楷體" w:eastAsia="標楷體" w:hAnsi="標楷體"/>
          <w:sz w:val="28"/>
          <w:szCs w:val="28"/>
        </w:rPr>
        <w:t>工作者：指職業安全衛生法第2條第1項第1款所稱人員。</w:t>
      </w:r>
    </w:p>
    <w:p w:rsidR="00B86D4C" w:rsidRDefault="002A6305">
      <w:pPr>
        <w:pStyle w:val="ad"/>
        <w:numPr>
          <w:ilvl w:val="0"/>
          <w:numId w:val="4"/>
        </w:numPr>
        <w:tabs>
          <w:tab w:val="left" w:pos="1932"/>
        </w:tabs>
        <w:snapToGrid w:val="0"/>
        <w:spacing w:line="360" w:lineRule="auto"/>
        <w:ind w:left="1985" w:hanging="716"/>
        <w:jc w:val="both"/>
        <w:rPr>
          <w:rFonts w:ascii="標楷體" w:eastAsia="標楷體" w:hAnsi="標楷體"/>
          <w:sz w:val="28"/>
          <w:szCs w:val="28"/>
        </w:rPr>
      </w:pPr>
      <w:r>
        <w:rPr>
          <w:rFonts w:ascii="標楷體" w:eastAsia="標楷體" w:hAnsi="標楷體"/>
          <w:sz w:val="28"/>
          <w:szCs w:val="28"/>
        </w:rPr>
        <w:t>勞工：指職業安全衛生法第2條第1項第2款所稱勞工及同法第51條第2項比照勞工。</w:t>
      </w:r>
    </w:p>
    <w:p w:rsidR="00B86D4C" w:rsidRDefault="002A6305">
      <w:pPr>
        <w:pStyle w:val="ad"/>
        <w:numPr>
          <w:ilvl w:val="0"/>
          <w:numId w:val="4"/>
        </w:numPr>
        <w:tabs>
          <w:tab w:val="left" w:pos="1932"/>
        </w:tabs>
        <w:snapToGrid w:val="0"/>
        <w:spacing w:line="360" w:lineRule="auto"/>
        <w:ind w:left="1985" w:hanging="716"/>
        <w:jc w:val="both"/>
        <w:rPr>
          <w:rFonts w:ascii="標楷體" w:eastAsia="標楷體" w:hAnsi="標楷體"/>
          <w:sz w:val="28"/>
          <w:szCs w:val="28"/>
        </w:rPr>
      </w:pPr>
      <w:r>
        <w:rPr>
          <w:rFonts w:ascii="標楷體" w:eastAsia="標楷體" w:hAnsi="標楷體"/>
          <w:sz w:val="28"/>
          <w:szCs w:val="28"/>
        </w:rPr>
        <w:t>工作者：指職業安全衛生法第51條第2項比照勞工，即適用職業安全衛生法，在本校適用職業安全衛生法之實驗(習)場所等工作場所作業，並接受工作場所負責人指揮或監督從事勞動之人員。如志工、勞務承攬派駐人員、派遣工、臨時工或其他受雇主指派至本校工作場所工作之人員等。</w:t>
      </w:r>
    </w:p>
    <w:p w:rsidR="00B86D4C" w:rsidRDefault="002A6305">
      <w:pPr>
        <w:pStyle w:val="ad"/>
        <w:numPr>
          <w:ilvl w:val="0"/>
          <w:numId w:val="4"/>
        </w:numPr>
        <w:tabs>
          <w:tab w:val="left" w:pos="1932"/>
        </w:tabs>
        <w:snapToGrid w:val="0"/>
        <w:spacing w:line="360" w:lineRule="auto"/>
        <w:ind w:left="1985" w:hanging="716"/>
        <w:jc w:val="both"/>
        <w:rPr>
          <w:rFonts w:ascii="標楷體" w:eastAsia="標楷體" w:hAnsi="標楷體"/>
          <w:sz w:val="28"/>
          <w:szCs w:val="28"/>
        </w:rPr>
      </w:pPr>
      <w:r>
        <w:rPr>
          <w:rFonts w:ascii="標楷體" w:eastAsia="標楷體" w:hAnsi="標楷體"/>
          <w:sz w:val="28"/>
          <w:szCs w:val="28"/>
        </w:rPr>
        <w:t>公務人員：指依公務人員保障法第3條所稱公務人員及同法第102條準用人員。</w:t>
      </w:r>
    </w:p>
    <w:p w:rsidR="00B86D4C" w:rsidRDefault="002A6305">
      <w:pPr>
        <w:pStyle w:val="ad"/>
        <w:numPr>
          <w:ilvl w:val="0"/>
          <w:numId w:val="4"/>
        </w:numPr>
        <w:tabs>
          <w:tab w:val="left" w:pos="1932"/>
        </w:tabs>
        <w:snapToGrid w:val="0"/>
        <w:spacing w:line="360" w:lineRule="auto"/>
        <w:ind w:left="1985" w:hanging="716"/>
        <w:jc w:val="both"/>
        <w:rPr>
          <w:rFonts w:ascii="標楷體" w:eastAsia="標楷體" w:hAnsi="標楷體"/>
          <w:sz w:val="28"/>
          <w:szCs w:val="28"/>
        </w:rPr>
      </w:pPr>
      <w:r>
        <w:rPr>
          <w:rFonts w:ascii="標楷體" w:eastAsia="標楷體" w:hAnsi="標楷體"/>
          <w:sz w:val="28"/>
          <w:szCs w:val="28"/>
        </w:rPr>
        <w:t>各級工作場所管理人：指依照本校組織編制表，設置之各級單位，授權負責所轄工作場所，擔任指揮或監督之主管人員。</w:t>
      </w:r>
    </w:p>
    <w:p w:rsidR="00B86D4C" w:rsidRDefault="002A6305">
      <w:pPr>
        <w:pStyle w:val="ad"/>
        <w:numPr>
          <w:ilvl w:val="0"/>
          <w:numId w:val="3"/>
        </w:numPr>
        <w:snapToGrid w:val="0"/>
        <w:spacing w:line="360" w:lineRule="auto"/>
        <w:ind w:left="1134" w:hanging="1134"/>
        <w:jc w:val="both"/>
        <w:rPr>
          <w:rFonts w:ascii="Times New Roman" w:eastAsia="標楷體" w:hAnsi="Times New Roman"/>
          <w:sz w:val="28"/>
          <w:szCs w:val="28"/>
        </w:rPr>
      </w:pPr>
      <w:r>
        <w:rPr>
          <w:rFonts w:ascii="Times New Roman" w:eastAsia="標楷體" w:hAnsi="Times New Roman"/>
          <w:sz w:val="28"/>
          <w:szCs w:val="28"/>
        </w:rPr>
        <w:t>本守則適用對象包括下列人員，均應確實遵守本守則所訂之各項規定：</w:t>
      </w:r>
    </w:p>
    <w:p w:rsidR="00B86D4C" w:rsidRDefault="002A6305">
      <w:pPr>
        <w:pStyle w:val="ad"/>
        <w:numPr>
          <w:ilvl w:val="0"/>
          <w:numId w:val="5"/>
        </w:numPr>
        <w:snapToGrid w:val="0"/>
        <w:spacing w:line="360" w:lineRule="auto"/>
        <w:ind w:left="1985" w:hanging="663"/>
        <w:jc w:val="both"/>
        <w:rPr>
          <w:rFonts w:ascii="標楷體" w:eastAsia="標楷體" w:hAnsi="標楷體"/>
          <w:sz w:val="28"/>
          <w:szCs w:val="28"/>
        </w:rPr>
      </w:pPr>
      <w:r>
        <w:rPr>
          <w:rFonts w:ascii="標楷體" w:eastAsia="標楷體" w:hAnsi="標楷體"/>
          <w:sz w:val="28"/>
          <w:szCs w:val="28"/>
        </w:rPr>
        <w:t>本校工作場所之工作者（含非受僱勞工）及在本校作業之承攬商。</w:t>
      </w:r>
    </w:p>
    <w:p w:rsidR="00B86D4C" w:rsidRPr="002338A8" w:rsidRDefault="002A6305" w:rsidP="002338A8">
      <w:pPr>
        <w:pStyle w:val="ad"/>
        <w:numPr>
          <w:ilvl w:val="0"/>
          <w:numId w:val="5"/>
        </w:numPr>
        <w:tabs>
          <w:tab w:val="left" w:pos="2016"/>
        </w:tabs>
        <w:snapToGrid w:val="0"/>
        <w:spacing w:line="360" w:lineRule="auto"/>
        <w:ind w:left="1843" w:hanging="521"/>
        <w:jc w:val="both"/>
        <w:rPr>
          <w:rFonts w:ascii="標楷體" w:eastAsia="標楷體" w:hAnsi="標楷體"/>
          <w:sz w:val="28"/>
          <w:szCs w:val="28"/>
        </w:rPr>
      </w:pPr>
      <w:r>
        <w:rPr>
          <w:rFonts w:ascii="標楷體" w:eastAsia="標楷體" w:hAnsi="標楷體"/>
          <w:sz w:val="28"/>
          <w:szCs w:val="28"/>
        </w:rPr>
        <w:t>本校公務人員準用本工作守則。</w:t>
      </w:r>
    </w:p>
    <w:p w:rsidR="00B86D4C" w:rsidRDefault="002A6305">
      <w:pPr>
        <w:snapToGrid w:val="0"/>
        <w:spacing w:line="360" w:lineRule="auto"/>
        <w:ind w:left="1121" w:hanging="1121"/>
        <w:jc w:val="both"/>
        <w:rPr>
          <w:rFonts w:ascii="標楷體" w:eastAsia="標楷體" w:hAnsi="標楷體"/>
          <w:b/>
          <w:sz w:val="28"/>
          <w:szCs w:val="28"/>
        </w:rPr>
      </w:pPr>
      <w:r>
        <w:rPr>
          <w:rFonts w:ascii="標楷體" w:eastAsia="標楷體" w:hAnsi="標楷體"/>
          <w:b/>
          <w:sz w:val="28"/>
          <w:szCs w:val="28"/>
        </w:rPr>
        <w:lastRenderedPageBreak/>
        <w:t>第貳章</w:t>
      </w:r>
      <w:r>
        <w:rPr>
          <w:rFonts w:ascii="標楷體" w:eastAsia="標楷體" w:hAnsi="標楷體"/>
          <w:b/>
          <w:sz w:val="28"/>
          <w:szCs w:val="28"/>
        </w:rPr>
        <w:tab/>
        <w:t xml:space="preserve"> 事業之安全衛生管理及各級人員之權責</w:t>
      </w:r>
    </w:p>
    <w:p w:rsidR="00B86D4C" w:rsidRDefault="002A6305">
      <w:pPr>
        <w:pStyle w:val="ad"/>
        <w:numPr>
          <w:ilvl w:val="0"/>
          <w:numId w:val="3"/>
        </w:numPr>
        <w:snapToGrid w:val="0"/>
        <w:spacing w:line="360" w:lineRule="auto"/>
        <w:ind w:left="1134" w:hanging="1134"/>
        <w:jc w:val="both"/>
        <w:rPr>
          <w:rFonts w:ascii="Times New Roman" w:eastAsia="標楷體" w:hAnsi="Times New Roman"/>
          <w:sz w:val="28"/>
          <w:szCs w:val="28"/>
        </w:rPr>
      </w:pPr>
      <w:r>
        <w:rPr>
          <w:rFonts w:ascii="Times New Roman" w:eastAsia="標楷體" w:hAnsi="Times New Roman"/>
          <w:sz w:val="28"/>
          <w:szCs w:val="28"/>
        </w:rPr>
        <w:t>本校安全衛生業務分工如下：</w:t>
      </w:r>
    </w:p>
    <w:p w:rsidR="00B86D4C" w:rsidRDefault="002A6305">
      <w:pPr>
        <w:pStyle w:val="ad"/>
        <w:numPr>
          <w:ilvl w:val="0"/>
          <w:numId w:val="6"/>
        </w:numPr>
        <w:snapToGrid w:val="0"/>
        <w:spacing w:line="360" w:lineRule="auto"/>
        <w:ind w:left="1932" w:hanging="683"/>
        <w:jc w:val="both"/>
        <w:rPr>
          <w:rFonts w:ascii="標楷體" w:eastAsia="標楷體" w:hAnsi="標楷體"/>
          <w:sz w:val="28"/>
          <w:szCs w:val="28"/>
        </w:rPr>
      </w:pPr>
      <w:r>
        <w:rPr>
          <w:rFonts w:ascii="標楷體" w:eastAsia="標楷體" w:hAnsi="標楷體"/>
          <w:sz w:val="28"/>
          <w:szCs w:val="28"/>
        </w:rPr>
        <w:t>職業安全衛生管理單位應指派人員辦理「工作者」安全衛生業務，其權責如下：</w:t>
      </w:r>
    </w:p>
    <w:p w:rsidR="00B86D4C" w:rsidRDefault="002A6305">
      <w:pPr>
        <w:pStyle w:val="ad"/>
        <w:numPr>
          <w:ilvl w:val="0"/>
          <w:numId w:val="7"/>
        </w:numPr>
        <w:tabs>
          <w:tab w:val="left" w:pos="2730"/>
        </w:tabs>
        <w:snapToGrid w:val="0"/>
        <w:spacing w:line="360" w:lineRule="auto"/>
        <w:ind w:left="2758" w:hanging="804"/>
        <w:jc w:val="both"/>
        <w:rPr>
          <w:rFonts w:ascii="標楷體" w:eastAsia="標楷體" w:hAnsi="標楷體"/>
          <w:sz w:val="28"/>
          <w:szCs w:val="28"/>
        </w:rPr>
      </w:pPr>
      <w:r>
        <w:rPr>
          <w:rFonts w:ascii="標楷體" w:eastAsia="標楷體" w:hAnsi="標楷體"/>
          <w:sz w:val="28"/>
          <w:szCs w:val="28"/>
        </w:rPr>
        <w:t>規劃、督導及推動各單位安全衛生稽核及管理。</w:t>
      </w:r>
    </w:p>
    <w:p w:rsidR="00B86D4C" w:rsidRDefault="002A6305">
      <w:pPr>
        <w:pStyle w:val="ad"/>
        <w:numPr>
          <w:ilvl w:val="0"/>
          <w:numId w:val="7"/>
        </w:numPr>
        <w:tabs>
          <w:tab w:val="left" w:pos="2730"/>
        </w:tabs>
        <w:snapToGrid w:val="0"/>
        <w:spacing w:line="360" w:lineRule="auto"/>
        <w:ind w:left="2758" w:hanging="804"/>
        <w:jc w:val="both"/>
        <w:rPr>
          <w:rFonts w:ascii="標楷體" w:eastAsia="標楷體" w:hAnsi="標楷體"/>
          <w:sz w:val="28"/>
          <w:szCs w:val="28"/>
        </w:rPr>
      </w:pPr>
      <w:r>
        <w:rPr>
          <w:rFonts w:ascii="標楷體" w:eastAsia="標楷體" w:hAnsi="標楷體"/>
          <w:sz w:val="28"/>
          <w:szCs w:val="28"/>
        </w:rPr>
        <w:t>實施安全衛生教育訓練。</w:t>
      </w:r>
    </w:p>
    <w:p w:rsidR="00B86D4C" w:rsidRDefault="002A6305">
      <w:pPr>
        <w:pStyle w:val="ad"/>
        <w:numPr>
          <w:ilvl w:val="0"/>
          <w:numId w:val="7"/>
        </w:numPr>
        <w:tabs>
          <w:tab w:val="left" w:pos="2730"/>
        </w:tabs>
        <w:snapToGrid w:val="0"/>
        <w:spacing w:line="360" w:lineRule="auto"/>
        <w:ind w:left="2758" w:hanging="804"/>
        <w:jc w:val="both"/>
        <w:rPr>
          <w:rFonts w:ascii="標楷體" w:eastAsia="標楷體" w:hAnsi="標楷體"/>
          <w:sz w:val="28"/>
          <w:szCs w:val="28"/>
        </w:rPr>
      </w:pPr>
      <w:r>
        <w:rPr>
          <w:rFonts w:ascii="標楷體" w:eastAsia="標楷體" w:hAnsi="標楷體"/>
          <w:sz w:val="28"/>
          <w:szCs w:val="28"/>
        </w:rPr>
        <w:t>定期或不定期實施巡視，提供改善工作方法。</w:t>
      </w:r>
    </w:p>
    <w:p w:rsidR="00B86D4C" w:rsidRDefault="002A6305">
      <w:pPr>
        <w:pStyle w:val="ad"/>
        <w:numPr>
          <w:ilvl w:val="0"/>
          <w:numId w:val="7"/>
        </w:numPr>
        <w:tabs>
          <w:tab w:val="left" w:pos="2730"/>
        </w:tabs>
        <w:snapToGrid w:val="0"/>
        <w:spacing w:line="360" w:lineRule="auto"/>
        <w:ind w:left="2758" w:hanging="804"/>
        <w:jc w:val="both"/>
        <w:rPr>
          <w:rFonts w:ascii="標楷體" w:eastAsia="標楷體" w:hAnsi="標楷體"/>
          <w:sz w:val="28"/>
          <w:szCs w:val="28"/>
        </w:rPr>
      </w:pPr>
      <w:r>
        <w:rPr>
          <w:rFonts w:ascii="標楷體" w:eastAsia="標楷體" w:hAnsi="標楷體"/>
          <w:sz w:val="28"/>
          <w:szCs w:val="28"/>
        </w:rPr>
        <w:t>有關安全衛生防護綜合業務。</w:t>
      </w:r>
    </w:p>
    <w:p w:rsidR="00B86D4C" w:rsidRDefault="002A6305">
      <w:pPr>
        <w:pStyle w:val="ad"/>
        <w:numPr>
          <w:ilvl w:val="0"/>
          <w:numId w:val="7"/>
        </w:numPr>
        <w:tabs>
          <w:tab w:val="left" w:pos="2730"/>
        </w:tabs>
        <w:snapToGrid w:val="0"/>
        <w:spacing w:line="360" w:lineRule="auto"/>
        <w:ind w:left="2758" w:hanging="804"/>
        <w:jc w:val="both"/>
        <w:rPr>
          <w:rFonts w:ascii="標楷體" w:eastAsia="標楷體" w:hAnsi="標楷體"/>
          <w:sz w:val="28"/>
          <w:szCs w:val="28"/>
        </w:rPr>
      </w:pPr>
      <w:r>
        <w:rPr>
          <w:rFonts w:ascii="標楷體" w:eastAsia="標楷體" w:hAnsi="標楷體"/>
          <w:sz w:val="28"/>
          <w:szCs w:val="28"/>
        </w:rPr>
        <w:t>其他有關勞工安全衛生管理事項。</w:t>
      </w:r>
    </w:p>
    <w:p w:rsidR="00B86D4C" w:rsidRDefault="002A6305">
      <w:pPr>
        <w:pStyle w:val="ad"/>
        <w:numPr>
          <w:ilvl w:val="0"/>
          <w:numId w:val="6"/>
        </w:numPr>
        <w:snapToGrid w:val="0"/>
        <w:spacing w:line="360" w:lineRule="auto"/>
        <w:ind w:left="1932" w:hanging="683"/>
        <w:jc w:val="both"/>
        <w:rPr>
          <w:rFonts w:ascii="標楷體" w:eastAsia="標楷體" w:hAnsi="標楷體"/>
          <w:sz w:val="28"/>
          <w:szCs w:val="28"/>
        </w:rPr>
      </w:pPr>
      <w:r>
        <w:rPr>
          <w:rFonts w:ascii="標楷體" w:eastAsia="標楷體" w:hAnsi="標楷體"/>
          <w:sz w:val="28"/>
          <w:szCs w:val="28"/>
        </w:rPr>
        <w:t>各級工作場所管理人，負責指揮、監督所屬人員，依照本守則與安全作業標準方法，確實執行職業安全衛生法與相關規定。</w:t>
      </w:r>
    </w:p>
    <w:p w:rsidR="00B86D4C" w:rsidRDefault="002A6305">
      <w:pPr>
        <w:pStyle w:val="ad"/>
        <w:numPr>
          <w:ilvl w:val="0"/>
          <w:numId w:val="3"/>
        </w:numPr>
        <w:snapToGrid w:val="0"/>
        <w:spacing w:line="360" w:lineRule="auto"/>
        <w:ind w:left="1134" w:hanging="1134"/>
        <w:jc w:val="both"/>
        <w:rPr>
          <w:rFonts w:ascii="Times New Roman" w:eastAsia="標楷體" w:hAnsi="Times New Roman"/>
          <w:sz w:val="28"/>
          <w:szCs w:val="28"/>
        </w:rPr>
      </w:pPr>
      <w:r>
        <w:rPr>
          <w:rFonts w:ascii="Times New Roman" w:eastAsia="標楷體" w:hAnsi="Times New Roman"/>
          <w:sz w:val="28"/>
          <w:szCs w:val="28"/>
        </w:rPr>
        <w:t>本校針對得標廠商</w:t>
      </w:r>
      <w:r>
        <w:rPr>
          <w:rFonts w:ascii="Times New Roman" w:eastAsia="標楷體" w:hAnsi="Times New Roman"/>
          <w:sz w:val="28"/>
          <w:szCs w:val="28"/>
        </w:rPr>
        <w:t>(</w:t>
      </w:r>
      <w:r>
        <w:rPr>
          <w:rFonts w:ascii="Times New Roman" w:eastAsia="標楷體" w:hAnsi="Times New Roman"/>
          <w:sz w:val="28"/>
          <w:szCs w:val="28"/>
        </w:rPr>
        <w:t>承攬商</w:t>
      </w:r>
      <w:r>
        <w:rPr>
          <w:rFonts w:ascii="Times New Roman" w:eastAsia="標楷體" w:hAnsi="Times New Roman"/>
          <w:sz w:val="28"/>
          <w:szCs w:val="28"/>
        </w:rPr>
        <w:t>)</w:t>
      </w:r>
      <w:r>
        <w:rPr>
          <w:rFonts w:ascii="Times New Roman" w:eastAsia="標楷體" w:hAnsi="Times New Roman"/>
          <w:sz w:val="28"/>
          <w:szCs w:val="28"/>
        </w:rPr>
        <w:t>進入本校工作場所作業之職業安全衛生權責如下：</w:t>
      </w:r>
    </w:p>
    <w:p w:rsidR="00B86D4C" w:rsidRPr="00196B7B" w:rsidRDefault="002A6305">
      <w:pPr>
        <w:pStyle w:val="ad"/>
        <w:numPr>
          <w:ilvl w:val="0"/>
          <w:numId w:val="8"/>
        </w:numPr>
        <w:tabs>
          <w:tab w:val="left" w:pos="2030"/>
        </w:tabs>
        <w:snapToGrid w:val="0"/>
        <w:spacing w:line="360" w:lineRule="auto"/>
        <w:ind w:left="2086" w:hanging="837"/>
        <w:jc w:val="both"/>
        <w:rPr>
          <w:rFonts w:ascii="標楷體" w:eastAsia="標楷體" w:hAnsi="標楷體"/>
          <w:sz w:val="28"/>
          <w:szCs w:val="28"/>
          <w:shd w:val="pct15" w:color="auto" w:fill="FFFFFF"/>
        </w:rPr>
      </w:pPr>
      <w:r w:rsidRPr="00196B7B">
        <w:rPr>
          <w:rFonts w:ascii="標楷體" w:eastAsia="標楷體" w:hAnsi="標楷體"/>
          <w:sz w:val="28"/>
          <w:szCs w:val="28"/>
          <w:shd w:val="pct15" w:color="auto" w:fill="FFFFFF"/>
        </w:rPr>
        <w:t>本校職業安全衛生管理單位於得標廠商進場施工前應告知職業安全相關規定。</w:t>
      </w:r>
    </w:p>
    <w:p w:rsidR="00B86D4C" w:rsidRPr="001E5307" w:rsidRDefault="002A6305">
      <w:pPr>
        <w:pStyle w:val="ad"/>
        <w:numPr>
          <w:ilvl w:val="0"/>
          <w:numId w:val="8"/>
        </w:numPr>
        <w:tabs>
          <w:tab w:val="left" w:pos="2030"/>
        </w:tabs>
        <w:snapToGrid w:val="0"/>
        <w:spacing w:line="360" w:lineRule="auto"/>
        <w:ind w:left="2030" w:hanging="781"/>
        <w:jc w:val="both"/>
        <w:rPr>
          <w:rFonts w:ascii="標楷體" w:eastAsia="標楷體" w:hAnsi="標楷體"/>
          <w:sz w:val="28"/>
          <w:szCs w:val="28"/>
        </w:rPr>
      </w:pPr>
      <w:r w:rsidRPr="001E5307">
        <w:rPr>
          <w:rFonts w:ascii="標楷體" w:eastAsia="標楷體" w:hAnsi="標楷體"/>
          <w:sz w:val="28"/>
          <w:szCs w:val="28"/>
        </w:rPr>
        <w:t>各級工作場所管理人應擔負其安全衛生之監督責任，確實要求廠商相關人員遵守相關安全衛生規定，必要時得停止其作業，督促其確保安全後再行作業。</w:t>
      </w:r>
    </w:p>
    <w:p w:rsidR="00B86D4C" w:rsidRPr="00196B7B" w:rsidRDefault="002A6305">
      <w:pPr>
        <w:pStyle w:val="ad"/>
        <w:numPr>
          <w:ilvl w:val="0"/>
          <w:numId w:val="8"/>
        </w:numPr>
        <w:tabs>
          <w:tab w:val="left" w:pos="2030"/>
        </w:tabs>
        <w:snapToGrid w:val="0"/>
        <w:spacing w:line="360" w:lineRule="auto"/>
        <w:ind w:left="2030" w:hanging="781"/>
        <w:jc w:val="both"/>
        <w:rPr>
          <w:rFonts w:ascii="標楷體" w:eastAsia="標楷體" w:hAnsi="標楷體"/>
          <w:sz w:val="28"/>
          <w:szCs w:val="28"/>
          <w:shd w:val="pct15" w:color="auto" w:fill="FFFFFF"/>
        </w:rPr>
      </w:pPr>
      <w:r w:rsidRPr="00196B7B">
        <w:rPr>
          <w:rFonts w:ascii="標楷體" w:eastAsia="標楷體" w:hAnsi="標楷體"/>
          <w:sz w:val="28"/>
          <w:szCs w:val="28"/>
          <w:shd w:val="pct15" w:color="auto" w:fill="FFFFFF"/>
        </w:rPr>
        <w:t>招標發包單位應審查廠商的資格與相關證照文件，並視需要於作業期間進行驗證。</w:t>
      </w:r>
    </w:p>
    <w:p w:rsidR="00B86D4C" w:rsidRDefault="002A6305">
      <w:pPr>
        <w:pStyle w:val="ad"/>
        <w:numPr>
          <w:ilvl w:val="0"/>
          <w:numId w:val="3"/>
        </w:numPr>
        <w:snapToGrid w:val="0"/>
        <w:spacing w:line="360" w:lineRule="auto"/>
        <w:ind w:left="1276" w:hanging="1276"/>
        <w:jc w:val="both"/>
        <w:rPr>
          <w:rFonts w:ascii="Times New Roman" w:eastAsia="標楷體" w:hAnsi="Times New Roman"/>
          <w:sz w:val="28"/>
          <w:szCs w:val="28"/>
        </w:rPr>
      </w:pPr>
      <w:r>
        <w:rPr>
          <w:rFonts w:ascii="Times New Roman" w:eastAsia="標楷體" w:hAnsi="Times New Roman"/>
          <w:sz w:val="28"/>
          <w:szCs w:val="28"/>
        </w:rPr>
        <w:t>本守則第三條適用對象，應切實遵守下列事項：</w:t>
      </w:r>
    </w:p>
    <w:p w:rsidR="00B86D4C" w:rsidRDefault="002A6305">
      <w:pPr>
        <w:pStyle w:val="ad"/>
        <w:numPr>
          <w:ilvl w:val="0"/>
          <w:numId w:val="9"/>
        </w:numPr>
        <w:snapToGrid w:val="0"/>
        <w:spacing w:line="360" w:lineRule="auto"/>
        <w:ind w:left="1960" w:hanging="685"/>
        <w:jc w:val="both"/>
        <w:rPr>
          <w:rFonts w:ascii="標楷體" w:eastAsia="標楷體" w:hAnsi="標楷體"/>
          <w:sz w:val="28"/>
        </w:rPr>
      </w:pPr>
      <w:r>
        <w:rPr>
          <w:rFonts w:ascii="標楷體" w:eastAsia="標楷體" w:hAnsi="標楷體"/>
          <w:sz w:val="28"/>
        </w:rPr>
        <w:t>本工作守則。</w:t>
      </w:r>
    </w:p>
    <w:p w:rsidR="00B86D4C" w:rsidRDefault="002A6305">
      <w:pPr>
        <w:pStyle w:val="ad"/>
        <w:numPr>
          <w:ilvl w:val="0"/>
          <w:numId w:val="9"/>
        </w:numPr>
        <w:spacing w:line="360" w:lineRule="auto"/>
        <w:ind w:left="1974" w:hanging="699"/>
        <w:rPr>
          <w:rFonts w:ascii="標楷體" w:eastAsia="標楷體" w:hAnsi="標楷體"/>
          <w:sz w:val="28"/>
        </w:rPr>
      </w:pPr>
      <w:r>
        <w:rPr>
          <w:rFonts w:ascii="標楷體" w:eastAsia="標楷體" w:hAnsi="標楷體"/>
          <w:sz w:val="28"/>
        </w:rPr>
        <w:t>遵守標準作業程序，從事相關作業及各級工作場所管理人指示之安全作業規定。</w:t>
      </w:r>
    </w:p>
    <w:p w:rsidR="00B86D4C" w:rsidRPr="00196B7B" w:rsidRDefault="002A6305">
      <w:pPr>
        <w:pStyle w:val="ad"/>
        <w:numPr>
          <w:ilvl w:val="0"/>
          <w:numId w:val="9"/>
        </w:numPr>
        <w:spacing w:line="360" w:lineRule="auto"/>
        <w:ind w:left="1974" w:hanging="699"/>
        <w:rPr>
          <w:shd w:val="pct15" w:color="auto" w:fill="FFFFFF"/>
        </w:rPr>
      </w:pPr>
      <w:r w:rsidRPr="00196B7B">
        <w:rPr>
          <w:rFonts w:ascii="標楷體" w:eastAsia="標楷體" w:hAnsi="標楷體"/>
          <w:sz w:val="28"/>
          <w:shd w:val="pct15" w:color="auto" w:fill="FFFFFF"/>
        </w:rPr>
        <w:lastRenderedPageBreak/>
        <w:t>參加本</w:t>
      </w:r>
      <w:r w:rsidRPr="00196B7B">
        <w:rPr>
          <w:rFonts w:ascii="標楷體" w:eastAsia="標楷體" w:hAnsi="標楷體"/>
          <w:sz w:val="28"/>
          <w:szCs w:val="28"/>
          <w:shd w:val="pct15" w:color="auto" w:fill="FFFFFF"/>
        </w:rPr>
        <w:t>校</w:t>
      </w:r>
      <w:r w:rsidRPr="00196B7B">
        <w:rPr>
          <w:rFonts w:ascii="標楷體" w:eastAsia="標楷體" w:hAnsi="標楷體"/>
          <w:sz w:val="28"/>
          <w:shd w:val="pct15" w:color="auto" w:fill="FFFFFF"/>
        </w:rPr>
        <w:t>舉辦或指派之安全衛生教育訓練。</w:t>
      </w:r>
    </w:p>
    <w:p w:rsidR="002D0170" w:rsidRDefault="002A6305" w:rsidP="002D0170">
      <w:pPr>
        <w:pStyle w:val="ad"/>
        <w:numPr>
          <w:ilvl w:val="0"/>
          <w:numId w:val="9"/>
        </w:numPr>
        <w:spacing w:line="360" w:lineRule="auto"/>
        <w:ind w:left="1974" w:hanging="699"/>
        <w:rPr>
          <w:rFonts w:ascii="標楷體" w:eastAsia="標楷體" w:hAnsi="標楷體"/>
          <w:sz w:val="28"/>
        </w:rPr>
      </w:pPr>
      <w:r>
        <w:rPr>
          <w:rFonts w:ascii="標楷體" w:eastAsia="標楷體" w:hAnsi="標楷體"/>
          <w:sz w:val="28"/>
        </w:rPr>
        <w:t>遇有緊急事故應依通報程序，立即通報各級工作場所管理人及相關單位。</w:t>
      </w:r>
    </w:p>
    <w:p w:rsidR="00B86D4C" w:rsidRPr="002D0170" w:rsidRDefault="002A6305" w:rsidP="002D0170">
      <w:pPr>
        <w:pStyle w:val="ad"/>
        <w:numPr>
          <w:ilvl w:val="0"/>
          <w:numId w:val="9"/>
        </w:numPr>
        <w:spacing w:line="360" w:lineRule="auto"/>
        <w:ind w:left="1974" w:hanging="699"/>
        <w:rPr>
          <w:rFonts w:ascii="標楷體" w:eastAsia="標楷體" w:hAnsi="標楷體"/>
          <w:sz w:val="28"/>
        </w:rPr>
      </w:pPr>
      <w:r w:rsidRPr="002D0170">
        <w:rPr>
          <w:rFonts w:ascii="標楷體" w:eastAsia="標楷體" w:hAnsi="標楷體"/>
          <w:sz w:val="28"/>
        </w:rPr>
        <w:t>遵守安全衛生法令規章及本</w:t>
      </w:r>
      <w:r w:rsidRPr="002D0170">
        <w:rPr>
          <w:rFonts w:ascii="標楷體" w:eastAsia="標楷體" w:hAnsi="標楷體"/>
          <w:sz w:val="28"/>
          <w:szCs w:val="28"/>
        </w:rPr>
        <w:t>校</w:t>
      </w:r>
      <w:r w:rsidRPr="002D0170">
        <w:rPr>
          <w:rFonts w:ascii="標楷體" w:eastAsia="標楷體" w:hAnsi="標楷體"/>
          <w:sz w:val="28"/>
        </w:rPr>
        <w:t>相關安全衛生規定。</w:t>
      </w:r>
    </w:p>
    <w:p w:rsidR="00B86D4C" w:rsidRPr="00196B7B" w:rsidRDefault="002A6305">
      <w:pPr>
        <w:pStyle w:val="ad"/>
        <w:numPr>
          <w:ilvl w:val="0"/>
          <w:numId w:val="3"/>
        </w:numPr>
        <w:snapToGrid w:val="0"/>
        <w:spacing w:line="360" w:lineRule="auto"/>
        <w:ind w:left="1276" w:hanging="1276"/>
        <w:jc w:val="both"/>
        <w:rPr>
          <w:shd w:val="pct15" w:color="auto" w:fill="FFFFFF"/>
        </w:rPr>
      </w:pPr>
      <w:r w:rsidRPr="00196B7B">
        <w:rPr>
          <w:rFonts w:ascii="標楷體" w:eastAsia="標楷體" w:hAnsi="標楷體"/>
          <w:sz w:val="28"/>
          <w:shd w:val="pct15" w:color="auto" w:fill="FFFFFF"/>
        </w:rPr>
        <w:t>非受僱勞工第一次進入本</w:t>
      </w:r>
      <w:r w:rsidRPr="00196B7B">
        <w:rPr>
          <w:rFonts w:ascii="標楷體" w:eastAsia="標楷體" w:hAnsi="標楷體"/>
          <w:sz w:val="28"/>
          <w:szCs w:val="28"/>
          <w:shd w:val="pct15" w:color="auto" w:fill="FFFFFF"/>
        </w:rPr>
        <w:t>校</w:t>
      </w:r>
      <w:r w:rsidRPr="00196B7B">
        <w:rPr>
          <w:rFonts w:ascii="標楷體" w:eastAsia="標楷體" w:hAnsi="標楷體"/>
          <w:sz w:val="28"/>
          <w:shd w:val="pct15" w:color="auto" w:fill="FFFFFF"/>
        </w:rPr>
        <w:t>工作場所作業前，由</w:t>
      </w:r>
      <w:r w:rsidRPr="00196B7B">
        <w:rPr>
          <w:rFonts w:ascii="標楷體" w:eastAsia="標楷體" w:hAnsi="標楷體"/>
          <w:sz w:val="28"/>
          <w:szCs w:val="28"/>
          <w:shd w:val="pct15" w:color="auto" w:fill="FFFFFF"/>
        </w:rPr>
        <w:t>職業安全衛生管理單位</w:t>
      </w:r>
      <w:r w:rsidRPr="00196B7B">
        <w:rPr>
          <w:rFonts w:ascii="標楷體" w:eastAsia="標楷體" w:hAnsi="標楷體"/>
          <w:sz w:val="28"/>
          <w:shd w:val="pct15" w:color="auto" w:fill="FFFFFF"/>
        </w:rPr>
        <w:t>提示本守則及請其簽署，並要求確實遵照辦理。</w:t>
      </w:r>
    </w:p>
    <w:p w:rsidR="00B86D4C" w:rsidRDefault="002A6305">
      <w:pPr>
        <w:pStyle w:val="ad"/>
        <w:numPr>
          <w:ilvl w:val="0"/>
          <w:numId w:val="3"/>
        </w:numPr>
        <w:snapToGrid w:val="0"/>
        <w:spacing w:line="360" w:lineRule="auto"/>
        <w:ind w:left="1276" w:hanging="1276"/>
        <w:jc w:val="both"/>
      </w:pPr>
      <w:r>
        <w:rPr>
          <w:rFonts w:ascii="標楷體" w:eastAsia="標楷體" w:hAnsi="標楷體"/>
          <w:sz w:val="28"/>
        </w:rPr>
        <w:t>本</w:t>
      </w:r>
      <w:r>
        <w:rPr>
          <w:rFonts w:ascii="標楷體" w:eastAsia="標楷體" w:hAnsi="標楷體"/>
          <w:sz w:val="28"/>
          <w:szCs w:val="28"/>
        </w:rPr>
        <w:t>校</w:t>
      </w:r>
      <w:r>
        <w:rPr>
          <w:rFonts w:ascii="Times New Roman" w:eastAsia="標楷體" w:hAnsi="Times New Roman"/>
          <w:sz w:val="28"/>
          <w:szCs w:val="28"/>
        </w:rPr>
        <w:t>工程</w:t>
      </w:r>
      <w:r>
        <w:rPr>
          <w:rFonts w:ascii="標楷體" w:eastAsia="標楷體" w:hAnsi="標楷體"/>
          <w:sz w:val="28"/>
        </w:rPr>
        <w:t>或勞務採購，承攬單位需在本</w:t>
      </w:r>
      <w:r>
        <w:rPr>
          <w:rFonts w:ascii="標楷體" w:eastAsia="標楷體" w:hAnsi="標楷體"/>
          <w:sz w:val="28"/>
          <w:szCs w:val="28"/>
        </w:rPr>
        <w:t>校</w:t>
      </w:r>
      <w:r>
        <w:rPr>
          <w:rFonts w:ascii="標楷體" w:eastAsia="標楷體" w:hAnsi="標楷體"/>
          <w:sz w:val="28"/>
        </w:rPr>
        <w:t>工作場所施工或指派人員作業，</w:t>
      </w:r>
      <w:r>
        <w:rPr>
          <w:rFonts w:ascii="標楷體" w:eastAsia="標楷體" w:hAnsi="標楷體"/>
          <w:sz w:val="28"/>
          <w:szCs w:val="28"/>
        </w:rPr>
        <w:t>職業安全衛生管理單位</w:t>
      </w:r>
      <w:r>
        <w:rPr>
          <w:rFonts w:ascii="標楷體" w:eastAsia="標楷體" w:hAnsi="標楷體"/>
          <w:sz w:val="28"/>
        </w:rPr>
        <w:t>應檢附本守則及相關作業危害告知單，送達廠商要求其人員遵守執行，並與工作場所之負責人員協同承攬單位指派負責其作業指揮監督人員，經常巡查及督導，發現有違反職業安全衛生法暨本守則規定，應即制止繼續作業，限期改善，並依採購契約相關規定辦理。</w:t>
      </w:r>
    </w:p>
    <w:p w:rsidR="00B86D4C" w:rsidRDefault="002A6305">
      <w:pPr>
        <w:pStyle w:val="ad"/>
        <w:numPr>
          <w:ilvl w:val="0"/>
          <w:numId w:val="3"/>
        </w:numPr>
        <w:snapToGrid w:val="0"/>
        <w:spacing w:line="360" w:lineRule="auto"/>
        <w:ind w:left="1276" w:hanging="1276"/>
        <w:jc w:val="both"/>
      </w:pPr>
      <w:r>
        <w:rPr>
          <w:rFonts w:ascii="標楷體" w:eastAsia="標楷體" w:hAnsi="標楷體"/>
          <w:sz w:val="28"/>
        </w:rPr>
        <w:t>承攬</w:t>
      </w:r>
      <w:r>
        <w:rPr>
          <w:rFonts w:ascii="Times New Roman" w:eastAsia="標楷體" w:hAnsi="Times New Roman"/>
          <w:sz w:val="28"/>
          <w:szCs w:val="28"/>
        </w:rPr>
        <w:t>商</w:t>
      </w:r>
      <w:r>
        <w:rPr>
          <w:rFonts w:ascii="標楷體" w:eastAsia="標楷體" w:hAnsi="標楷體"/>
          <w:sz w:val="28"/>
        </w:rPr>
        <w:t>未遵守本守則，視同違反採購契約，並依契約相關規定處理。</w:t>
      </w:r>
    </w:p>
    <w:p w:rsidR="00B86D4C" w:rsidRDefault="002A6305">
      <w:pPr>
        <w:pStyle w:val="ad"/>
        <w:numPr>
          <w:ilvl w:val="0"/>
          <w:numId w:val="3"/>
        </w:numPr>
        <w:snapToGrid w:val="0"/>
        <w:spacing w:line="360" w:lineRule="auto"/>
        <w:ind w:left="1276" w:hanging="1276"/>
        <w:jc w:val="both"/>
      </w:pPr>
      <w:r>
        <w:rPr>
          <w:rFonts w:ascii="標楷體" w:eastAsia="標楷體" w:hAnsi="標楷體"/>
          <w:sz w:val="28"/>
        </w:rPr>
        <w:t>各級工作場所管理人針對所轄工作場所，有承攬</w:t>
      </w:r>
      <w:r>
        <w:rPr>
          <w:rFonts w:ascii="Times New Roman" w:eastAsia="標楷體" w:hAnsi="Times New Roman"/>
          <w:sz w:val="28"/>
          <w:szCs w:val="28"/>
        </w:rPr>
        <w:t>商</w:t>
      </w:r>
      <w:r>
        <w:rPr>
          <w:rFonts w:ascii="標楷體" w:eastAsia="標楷體" w:hAnsi="標楷體"/>
          <w:sz w:val="28"/>
        </w:rPr>
        <w:t>施工或指派人員作業時，應負起安全衛生之督導責任。發現有違反職業安全衛生法暨本守則規定，應即制止改善或暫停作業，並通報</w:t>
      </w:r>
      <w:r>
        <w:rPr>
          <w:rFonts w:ascii="標楷體" w:eastAsia="標楷體" w:hAnsi="標楷體"/>
          <w:sz w:val="28"/>
          <w:szCs w:val="28"/>
        </w:rPr>
        <w:t>職業安全衛生管理單位</w:t>
      </w:r>
      <w:r>
        <w:rPr>
          <w:rFonts w:ascii="標楷體" w:eastAsia="標楷體" w:hAnsi="標楷體"/>
          <w:sz w:val="28"/>
        </w:rPr>
        <w:t>依採購契約相關規定辦理。</w:t>
      </w:r>
    </w:p>
    <w:p w:rsidR="00B86D4C" w:rsidRPr="00DD2E15" w:rsidRDefault="002A6305">
      <w:pPr>
        <w:pStyle w:val="ad"/>
        <w:numPr>
          <w:ilvl w:val="0"/>
          <w:numId w:val="3"/>
        </w:numPr>
        <w:snapToGrid w:val="0"/>
        <w:spacing w:line="360" w:lineRule="auto"/>
        <w:ind w:left="1276" w:hanging="1276"/>
        <w:jc w:val="both"/>
        <w:rPr>
          <w:shd w:val="pct15" w:color="auto" w:fill="FFFFFF"/>
        </w:rPr>
      </w:pPr>
      <w:r w:rsidRPr="00DD2E15">
        <w:rPr>
          <w:rFonts w:ascii="標楷體" w:eastAsia="標楷體" w:hAnsi="標楷體"/>
          <w:sz w:val="28"/>
          <w:shd w:val="pct15" w:color="auto" w:fill="FFFFFF"/>
        </w:rPr>
        <w:t>得標廠商進入本</w:t>
      </w:r>
      <w:r w:rsidRPr="00DD2E15">
        <w:rPr>
          <w:rFonts w:ascii="標楷體" w:eastAsia="標楷體" w:hAnsi="標楷體"/>
          <w:sz w:val="28"/>
          <w:szCs w:val="28"/>
          <w:shd w:val="pct15" w:color="auto" w:fill="FFFFFF"/>
        </w:rPr>
        <w:t>校</w:t>
      </w:r>
      <w:r w:rsidRPr="00DD2E15">
        <w:rPr>
          <w:rFonts w:ascii="標楷體" w:eastAsia="標楷體" w:hAnsi="標楷體"/>
          <w:sz w:val="28"/>
          <w:shd w:val="pct15" w:color="auto" w:fill="FFFFFF"/>
        </w:rPr>
        <w:t>場所進行作業，應接受本</w:t>
      </w:r>
      <w:r w:rsidRPr="00DD2E15">
        <w:rPr>
          <w:rFonts w:ascii="標楷體" w:eastAsia="標楷體" w:hAnsi="標楷體"/>
          <w:sz w:val="28"/>
          <w:szCs w:val="28"/>
          <w:shd w:val="pct15" w:color="auto" w:fill="FFFFFF"/>
        </w:rPr>
        <w:t>校</w:t>
      </w:r>
      <w:r w:rsidRPr="00DD2E15">
        <w:rPr>
          <w:rFonts w:ascii="標楷體" w:eastAsia="標楷體" w:hAnsi="標楷體"/>
          <w:sz w:val="28"/>
          <w:shd w:val="pct15" w:color="auto" w:fill="FFFFFF"/>
        </w:rPr>
        <w:t>相關人員指導督導，並指派</w:t>
      </w:r>
      <w:r w:rsidRPr="00DD2E15">
        <w:rPr>
          <w:rFonts w:ascii="標楷體" w:eastAsia="標楷體" w:hAnsi="標楷體"/>
          <w:sz w:val="28"/>
          <w:szCs w:val="28"/>
          <w:shd w:val="pct15" w:color="auto" w:fill="FFFFFF"/>
        </w:rPr>
        <w:t>職業安全衛生法規規定之</w:t>
      </w:r>
      <w:r w:rsidRPr="00DD2E15">
        <w:rPr>
          <w:rFonts w:ascii="標楷體" w:eastAsia="標楷體" w:hAnsi="標楷體"/>
          <w:sz w:val="28"/>
          <w:shd w:val="pct15" w:color="auto" w:fill="FFFFFF"/>
        </w:rPr>
        <w:t>作業主管，代理或代表承攬商負責人擔負職業安全衛生法雇主責</w:t>
      </w:r>
      <w:r w:rsidRPr="00DD2E15">
        <w:rPr>
          <w:rFonts w:ascii="標楷體" w:eastAsia="標楷體" w:hAnsi="標楷體"/>
          <w:sz w:val="28"/>
          <w:szCs w:val="28"/>
          <w:shd w:val="pct15" w:color="auto" w:fill="FFFFFF"/>
        </w:rPr>
        <w:t>任</w:t>
      </w:r>
      <w:r w:rsidRPr="00DD2E15">
        <w:rPr>
          <w:rFonts w:ascii="標楷體" w:eastAsia="標楷體" w:hAnsi="標楷體"/>
          <w:sz w:val="28"/>
          <w:shd w:val="pct15" w:color="auto" w:fill="FFFFFF"/>
        </w:rPr>
        <w:t>。</w:t>
      </w:r>
    </w:p>
    <w:p w:rsidR="00B86D4C" w:rsidRDefault="002A6305">
      <w:pPr>
        <w:pStyle w:val="ad"/>
        <w:numPr>
          <w:ilvl w:val="0"/>
          <w:numId w:val="3"/>
        </w:numPr>
        <w:snapToGrid w:val="0"/>
        <w:spacing w:line="360" w:lineRule="auto"/>
        <w:ind w:left="1276" w:hanging="1276"/>
        <w:jc w:val="both"/>
      </w:pPr>
      <w:r>
        <w:rPr>
          <w:rFonts w:ascii="標楷體" w:eastAsia="標楷體" w:hAnsi="標楷體"/>
          <w:sz w:val="28"/>
        </w:rPr>
        <w:t>工作場所有於高度二公尺以上，未設置防墜設施及雖已設置合格工作檯但作業高度在五公尺以上，未</w:t>
      </w:r>
      <w:r>
        <w:rPr>
          <w:rFonts w:ascii="標楷體" w:eastAsia="標楷體" w:hAnsi="標楷體"/>
          <w:sz w:val="28"/>
          <w:szCs w:val="28"/>
        </w:rPr>
        <w:t>使</w:t>
      </w:r>
      <w:r>
        <w:rPr>
          <w:rFonts w:ascii="標楷體" w:eastAsia="標楷體" w:hAnsi="標楷體"/>
          <w:sz w:val="28"/>
        </w:rPr>
        <w:t>工作者使用適當之個人防護具，或於道路或鄰接道路從事作業，未採取管制措施及未設置安全防護設施等情形，致有發生墜落等立即發生危險之</w:t>
      </w:r>
      <w:r>
        <w:rPr>
          <w:rFonts w:ascii="標楷體" w:eastAsia="標楷體" w:hAnsi="標楷體"/>
          <w:sz w:val="28"/>
        </w:rPr>
        <w:lastRenderedPageBreak/>
        <w:t>虞時，各級工作場所管理人應即令停止作業，並使工作者退避至安全場所。</w:t>
      </w:r>
    </w:p>
    <w:p w:rsidR="00B86D4C" w:rsidRDefault="002A6305">
      <w:pPr>
        <w:snapToGrid w:val="0"/>
        <w:spacing w:line="360" w:lineRule="auto"/>
        <w:ind w:left="1272" w:firstLine="2"/>
        <w:jc w:val="both"/>
      </w:pPr>
      <w:r>
        <w:rPr>
          <w:rFonts w:ascii="標楷體" w:eastAsia="標楷體" w:hAnsi="標楷體"/>
          <w:sz w:val="28"/>
        </w:rPr>
        <w:t>工作者執行</w:t>
      </w:r>
      <w:r>
        <w:rPr>
          <w:rFonts w:ascii="標楷體" w:eastAsia="標楷體" w:hAnsi="標楷體" w:cs="細明體"/>
          <w:kern w:val="0"/>
          <w:sz w:val="28"/>
          <w:szCs w:val="28"/>
        </w:rPr>
        <w:t>職務</w:t>
      </w:r>
      <w:r>
        <w:rPr>
          <w:rFonts w:ascii="標楷體" w:eastAsia="標楷體" w:hAnsi="標楷體"/>
          <w:sz w:val="28"/>
        </w:rPr>
        <w:t>發現有前述立即發生危險之虞時，得在不危及其他工作者安全情形下，得自行停止作業及退避至安全場所，並立即向代表各級工作場所管理人報告。</w:t>
      </w:r>
    </w:p>
    <w:p w:rsidR="00B86D4C" w:rsidRDefault="002A6305">
      <w:pPr>
        <w:pStyle w:val="ad"/>
        <w:numPr>
          <w:ilvl w:val="0"/>
          <w:numId w:val="3"/>
        </w:numPr>
        <w:snapToGrid w:val="0"/>
        <w:spacing w:line="360" w:lineRule="auto"/>
        <w:ind w:left="1276" w:hanging="1276"/>
        <w:jc w:val="both"/>
      </w:pPr>
      <w:r>
        <w:rPr>
          <w:rFonts w:ascii="Times New Roman" w:eastAsia="標楷體" w:hAnsi="Times New Roman"/>
          <w:sz w:val="28"/>
          <w:szCs w:val="28"/>
        </w:rPr>
        <w:t>工作者</w:t>
      </w:r>
      <w:r>
        <w:rPr>
          <w:rFonts w:ascii="標楷體" w:eastAsia="標楷體" w:hAnsi="標楷體"/>
          <w:sz w:val="28"/>
        </w:rPr>
        <w:t>於本</w:t>
      </w:r>
      <w:r>
        <w:rPr>
          <w:rFonts w:ascii="標楷體" w:eastAsia="標楷體" w:hAnsi="標楷體"/>
          <w:sz w:val="28"/>
          <w:szCs w:val="28"/>
        </w:rPr>
        <w:t>校</w:t>
      </w:r>
      <w:r>
        <w:rPr>
          <w:rFonts w:ascii="標楷體" w:eastAsia="標楷體" w:hAnsi="標楷體"/>
          <w:sz w:val="28"/>
        </w:rPr>
        <w:t>工作場所作業時，應確實遵守本守則規定。</w:t>
      </w:r>
    </w:p>
    <w:p w:rsidR="00B86D4C" w:rsidRPr="002338A8" w:rsidRDefault="002A6305" w:rsidP="002338A8">
      <w:pPr>
        <w:pStyle w:val="ad"/>
        <w:numPr>
          <w:ilvl w:val="0"/>
          <w:numId w:val="3"/>
        </w:numPr>
        <w:snapToGrid w:val="0"/>
        <w:spacing w:line="360" w:lineRule="auto"/>
        <w:ind w:left="1276" w:hanging="1276"/>
        <w:jc w:val="both"/>
      </w:pPr>
      <w:r>
        <w:rPr>
          <w:rFonts w:ascii="標楷體" w:eastAsia="標楷體" w:hAnsi="標楷體"/>
          <w:sz w:val="28"/>
          <w:szCs w:val="28"/>
        </w:rPr>
        <w:t>職業安全衛生管理單位</w:t>
      </w:r>
      <w:r>
        <w:rPr>
          <w:rFonts w:ascii="標楷體" w:eastAsia="標楷體" w:hAnsi="標楷體"/>
          <w:sz w:val="28"/>
        </w:rPr>
        <w:t>及各級工作場所管理人於</w:t>
      </w:r>
      <w:r>
        <w:rPr>
          <w:rFonts w:ascii="標楷體" w:eastAsia="標楷體" w:hAnsi="標楷體"/>
          <w:sz w:val="28"/>
          <w:szCs w:val="28"/>
        </w:rPr>
        <w:t>工作者</w:t>
      </w:r>
      <w:r>
        <w:rPr>
          <w:rFonts w:ascii="標楷體" w:eastAsia="標楷體" w:hAnsi="標楷體"/>
          <w:sz w:val="28"/>
        </w:rPr>
        <w:t>至本</w:t>
      </w:r>
      <w:r>
        <w:rPr>
          <w:rFonts w:ascii="標楷體" w:eastAsia="標楷體" w:hAnsi="標楷體"/>
          <w:sz w:val="28"/>
          <w:szCs w:val="28"/>
        </w:rPr>
        <w:t>校</w:t>
      </w:r>
      <w:r>
        <w:rPr>
          <w:rFonts w:ascii="標楷體" w:eastAsia="標楷體" w:hAnsi="標楷體"/>
          <w:sz w:val="28"/>
        </w:rPr>
        <w:t>工作場所作業前，應確認提供相關人員個人防護具</w:t>
      </w:r>
      <w:r>
        <w:rPr>
          <w:rFonts w:ascii="新細明體" w:hAnsi="新細明體"/>
          <w:sz w:val="28"/>
        </w:rPr>
        <w:t>（</w:t>
      </w:r>
      <w:r>
        <w:rPr>
          <w:rFonts w:ascii="標楷體" w:eastAsia="標楷體" w:hAnsi="標楷體"/>
          <w:sz w:val="28"/>
        </w:rPr>
        <w:t>如安全帽</w:t>
      </w:r>
      <w:r>
        <w:rPr>
          <w:rFonts w:ascii="新細明體" w:hAnsi="新細明體"/>
          <w:sz w:val="28"/>
        </w:rPr>
        <w:t>、</w:t>
      </w:r>
      <w:r>
        <w:rPr>
          <w:rFonts w:ascii="標楷體" w:eastAsia="標楷體" w:hAnsi="標楷體"/>
          <w:sz w:val="28"/>
        </w:rPr>
        <w:t>工作鞋等）及告知進入該工作場所作業應注意事項</w:t>
      </w:r>
      <w:r>
        <w:rPr>
          <w:rFonts w:ascii="新細明體" w:hAnsi="新細明體"/>
          <w:sz w:val="28"/>
        </w:rPr>
        <w:t>（</w:t>
      </w:r>
      <w:r>
        <w:rPr>
          <w:rFonts w:ascii="標楷體" w:eastAsia="標楷體" w:hAnsi="標楷體"/>
          <w:sz w:val="28"/>
        </w:rPr>
        <w:t>如注意惡犬</w:t>
      </w:r>
      <w:r>
        <w:rPr>
          <w:rFonts w:ascii="新細明體" w:hAnsi="新細明體"/>
          <w:sz w:val="28"/>
        </w:rPr>
        <w:t>、</w:t>
      </w:r>
      <w:r>
        <w:rPr>
          <w:rFonts w:ascii="標楷體" w:eastAsia="標楷體" w:hAnsi="標楷體"/>
          <w:sz w:val="28"/>
        </w:rPr>
        <w:t>突出物</w:t>
      </w:r>
      <w:r>
        <w:rPr>
          <w:rFonts w:ascii="新細明體" w:hAnsi="新細明體"/>
          <w:sz w:val="28"/>
        </w:rPr>
        <w:t>、</w:t>
      </w:r>
      <w:r>
        <w:rPr>
          <w:rFonts w:ascii="標楷體" w:eastAsia="標楷體" w:hAnsi="標楷體"/>
          <w:sz w:val="28"/>
        </w:rPr>
        <w:t>開口等）。</w:t>
      </w:r>
    </w:p>
    <w:p w:rsidR="00B86D4C" w:rsidRDefault="002A6305">
      <w:pPr>
        <w:snapToGrid w:val="0"/>
        <w:spacing w:line="360" w:lineRule="auto"/>
        <w:jc w:val="both"/>
      </w:pPr>
      <w:r>
        <w:rPr>
          <w:rFonts w:ascii="標楷體" w:eastAsia="標楷體" w:hAnsi="標楷體"/>
          <w:b/>
          <w:sz w:val="28"/>
          <w:szCs w:val="28"/>
        </w:rPr>
        <w:t>第參章　 機械、設備或器具之維護及檢查</w:t>
      </w:r>
    </w:p>
    <w:p w:rsidR="00B86D4C" w:rsidRDefault="002A6305">
      <w:pPr>
        <w:pStyle w:val="ad"/>
        <w:numPr>
          <w:ilvl w:val="0"/>
          <w:numId w:val="3"/>
        </w:numPr>
        <w:snapToGrid w:val="0"/>
        <w:spacing w:line="360" w:lineRule="auto"/>
        <w:ind w:left="1276" w:hanging="1276"/>
        <w:jc w:val="both"/>
      </w:pPr>
      <w:r>
        <w:rPr>
          <w:rFonts w:ascii="標楷體" w:eastAsia="標楷體" w:hAnsi="標楷體"/>
          <w:sz w:val="28"/>
          <w:szCs w:val="28"/>
        </w:rPr>
        <w:t>本校</w:t>
      </w:r>
      <w:r>
        <w:rPr>
          <w:rFonts w:ascii="Times New Roman" w:eastAsia="標楷體" w:hAnsi="Times New Roman"/>
          <w:sz w:val="28"/>
          <w:szCs w:val="28"/>
        </w:rPr>
        <w:t>工作</w:t>
      </w:r>
      <w:r>
        <w:rPr>
          <w:rFonts w:ascii="標楷體" w:eastAsia="標楷體" w:hAnsi="標楷體"/>
          <w:sz w:val="28"/>
          <w:szCs w:val="28"/>
        </w:rPr>
        <w:t>場所有關下列事項，應設置符合安全衛生標準之設備、設施：</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t>防止機械、設備或器具等引起之危害。</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t>防止爆炸性或發火性等物質引起之危害。</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t>防止電、熱或其他之能引起之危害。</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t>防止採石、採掘、裝卸、搬運、堆積或採伐等作業中引起之危害。</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t>防止有墜落、物體飛落或崩塌等之虞之作業場所引起之危害。</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t>防止高壓氣體引起之危害。</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t>防止原料、材料、氣體、蒸氣、粉塵、溶劑、化學品、含毒性物質或缺氧空氣等引起之危害。</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t>防止輻射、高溫、低溫、超音波、噪音、振動或異常氣壓等引起之危害。</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lastRenderedPageBreak/>
        <w:t>防止監視儀表或精密作業等引起之危害。</w:t>
      </w:r>
    </w:p>
    <w:p w:rsidR="00B86D4C" w:rsidRDefault="002A6305">
      <w:pPr>
        <w:numPr>
          <w:ilvl w:val="0"/>
          <w:numId w:val="10"/>
        </w:numPr>
        <w:snapToGrid w:val="0"/>
        <w:spacing w:line="360" w:lineRule="auto"/>
        <w:ind w:left="1843" w:hanging="567"/>
        <w:jc w:val="both"/>
        <w:rPr>
          <w:rFonts w:ascii="標楷體" w:eastAsia="標楷體" w:hAnsi="標楷體"/>
          <w:sz w:val="28"/>
          <w:szCs w:val="28"/>
        </w:rPr>
      </w:pPr>
      <w:r>
        <w:rPr>
          <w:rFonts w:ascii="標楷體" w:eastAsia="標楷體" w:hAnsi="標楷體"/>
          <w:sz w:val="28"/>
          <w:szCs w:val="28"/>
        </w:rPr>
        <w:t>防止廢氣、廢液或殘渣等廢棄物引起之危害。</w:t>
      </w:r>
    </w:p>
    <w:p w:rsidR="00B86D4C" w:rsidRDefault="002A6305">
      <w:pPr>
        <w:numPr>
          <w:ilvl w:val="0"/>
          <w:numId w:val="10"/>
        </w:numPr>
        <w:tabs>
          <w:tab w:val="left" w:pos="2127"/>
        </w:tabs>
        <w:snapToGrid w:val="0"/>
        <w:spacing w:line="360" w:lineRule="auto"/>
        <w:ind w:left="1985" w:hanging="709"/>
        <w:jc w:val="both"/>
        <w:rPr>
          <w:rFonts w:ascii="標楷體" w:eastAsia="標楷體" w:hAnsi="標楷體"/>
          <w:sz w:val="28"/>
          <w:szCs w:val="28"/>
        </w:rPr>
      </w:pPr>
      <w:r>
        <w:rPr>
          <w:rFonts w:ascii="標楷體" w:eastAsia="標楷體" w:hAnsi="標楷體"/>
          <w:sz w:val="28"/>
          <w:szCs w:val="28"/>
        </w:rPr>
        <w:t>防止水患或火災等引起之危害。</w:t>
      </w:r>
    </w:p>
    <w:p w:rsidR="00B86D4C" w:rsidRDefault="002A6305">
      <w:pPr>
        <w:numPr>
          <w:ilvl w:val="0"/>
          <w:numId w:val="10"/>
        </w:numPr>
        <w:tabs>
          <w:tab w:val="left" w:pos="2127"/>
        </w:tabs>
        <w:snapToGrid w:val="0"/>
        <w:spacing w:line="360" w:lineRule="auto"/>
        <w:ind w:left="1985" w:hanging="709"/>
        <w:jc w:val="both"/>
        <w:rPr>
          <w:rFonts w:ascii="標楷體" w:eastAsia="標楷體" w:hAnsi="標楷體"/>
          <w:sz w:val="28"/>
          <w:szCs w:val="28"/>
        </w:rPr>
      </w:pPr>
      <w:r>
        <w:rPr>
          <w:rFonts w:ascii="標楷體" w:eastAsia="標楷體" w:hAnsi="標楷體"/>
          <w:sz w:val="28"/>
          <w:szCs w:val="28"/>
        </w:rPr>
        <w:t>防止動物、植物或微生物等引起之危害。</w:t>
      </w:r>
    </w:p>
    <w:p w:rsidR="00B86D4C" w:rsidRDefault="002A6305">
      <w:pPr>
        <w:numPr>
          <w:ilvl w:val="0"/>
          <w:numId w:val="10"/>
        </w:numPr>
        <w:tabs>
          <w:tab w:val="left" w:pos="2127"/>
        </w:tabs>
        <w:snapToGrid w:val="0"/>
        <w:spacing w:line="360" w:lineRule="auto"/>
        <w:ind w:left="1985" w:hanging="709"/>
        <w:jc w:val="both"/>
        <w:rPr>
          <w:rFonts w:ascii="標楷體" w:eastAsia="標楷體" w:hAnsi="標楷體"/>
          <w:sz w:val="28"/>
          <w:szCs w:val="28"/>
        </w:rPr>
      </w:pPr>
      <w:r>
        <w:rPr>
          <w:rFonts w:ascii="標楷體" w:eastAsia="標楷體" w:hAnsi="標楷體"/>
          <w:sz w:val="28"/>
          <w:szCs w:val="28"/>
        </w:rPr>
        <w:t>防止通道、地板或階梯等引起之危害。</w:t>
      </w:r>
    </w:p>
    <w:p w:rsidR="00B86D4C" w:rsidRDefault="002A6305">
      <w:pPr>
        <w:numPr>
          <w:ilvl w:val="0"/>
          <w:numId w:val="10"/>
        </w:numPr>
        <w:tabs>
          <w:tab w:val="left" w:pos="2127"/>
        </w:tabs>
        <w:snapToGrid w:val="0"/>
        <w:spacing w:line="360" w:lineRule="auto"/>
        <w:ind w:left="2127" w:hanging="851"/>
        <w:jc w:val="both"/>
        <w:rPr>
          <w:rFonts w:ascii="標楷體" w:eastAsia="標楷體" w:hAnsi="標楷體"/>
          <w:sz w:val="28"/>
          <w:szCs w:val="28"/>
        </w:rPr>
      </w:pPr>
      <w:r>
        <w:rPr>
          <w:rFonts w:ascii="標楷體" w:eastAsia="標楷體" w:hAnsi="標楷體"/>
          <w:sz w:val="28"/>
          <w:szCs w:val="28"/>
        </w:rPr>
        <w:t>防止未採取充足通風、採光、照明、保溫或防濕等引起之危害。</w:t>
      </w:r>
    </w:p>
    <w:p w:rsidR="00B86D4C" w:rsidRDefault="002A6305">
      <w:pPr>
        <w:pStyle w:val="ad"/>
        <w:numPr>
          <w:ilvl w:val="0"/>
          <w:numId w:val="3"/>
        </w:numPr>
        <w:snapToGrid w:val="0"/>
        <w:spacing w:line="360" w:lineRule="auto"/>
        <w:ind w:left="1418" w:hanging="1418"/>
        <w:jc w:val="both"/>
      </w:pPr>
      <w:r>
        <w:rPr>
          <w:rFonts w:ascii="標楷體" w:eastAsia="標楷體" w:hAnsi="標楷體" w:cs="細明體"/>
          <w:kern w:val="0"/>
          <w:sz w:val="28"/>
          <w:szCs w:val="28"/>
        </w:rPr>
        <w:t>本</w:t>
      </w:r>
      <w:r>
        <w:rPr>
          <w:rFonts w:ascii="標楷體" w:eastAsia="標楷體" w:hAnsi="標楷體"/>
          <w:sz w:val="28"/>
          <w:szCs w:val="28"/>
        </w:rPr>
        <w:t>校</w:t>
      </w:r>
      <w:r>
        <w:rPr>
          <w:rFonts w:ascii="標楷體" w:eastAsia="標楷體" w:hAnsi="標楷體" w:cs="細明體"/>
          <w:kern w:val="0"/>
          <w:sz w:val="28"/>
          <w:szCs w:val="28"/>
        </w:rPr>
        <w:t>工作場所之機械、設備、器具或作業設施，由</w:t>
      </w:r>
      <w:r>
        <w:rPr>
          <w:rFonts w:ascii="標楷體" w:eastAsia="標楷體" w:hAnsi="標楷體"/>
          <w:sz w:val="28"/>
          <w:szCs w:val="28"/>
        </w:rPr>
        <w:t>職業安全衛生管理單位</w:t>
      </w:r>
      <w:r>
        <w:rPr>
          <w:rFonts w:ascii="標楷體" w:eastAsia="標楷體" w:hAnsi="標楷體" w:cs="新細明體"/>
          <w:kern w:val="0"/>
          <w:sz w:val="28"/>
          <w:szCs w:val="28"/>
        </w:rPr>
        <w:t>採購</w:t>
      </w:r>
      <w:r>
        <w:rPr>
          <w:rFonts w:ascii="標楷體" w:eastAsia="標楷體" w:hAnsi="標楷體" w:cs="細明體"/>
          <w:kern w:val="0"/>
          <w:sz w:val="28"/>
          <w:szCs w:val="28"/>
        </w:rPr>
        <w:t>時應確認製造廠商提供之規格、安全作業程序或標準，符合職業安全衛生法暨相關規定，並不定時檢點維護。</w:t>
      </w:r>
    </w:p>
    <w:p w:rsidR="00B86D4C" w:rsidRDefault="002A6305">
      <w:pPr>
        <w:pStyle w:val="ad"/>
        <w:numPr>
          <w:ilvl w:val="0"/>
          <w:numId w:val="3"/>
        </w:numPr>
        <w:snapToGrid w:val="0"/>
        <w:spacing w:line="360" w:lineRule="auto"/>
        <w:ind w:left="1418" w:hanging="1418"/>
        <w:jc w:val="both"/>
        <w:rPr>
          <w:rFonts w:ascii="標楷體" w:eastAsia="標楷體" w:hAnsi="標楷體" w:cs="細明體"/>
          <w:kern w:val="0"/>
          <w:sz w:val="28"/>
          <w:szCs w:val="28"/>
        </w:rPr>
      </w:pPr>
      <w:r>
        <w:rPr>
          <w:rFonts w:ascii="標楷體" w:eastAsia="標楷體" w:hAnsi="標楷體" w:cs="細明體"/>
          <w:kern w:val="0"/>
          <w:sz w:val="28"/>
          <w:szCs w:val="28"/>
        </w:rPr>
        <w:t>本校工作場所之機械、設備、器具或作業設施，由本校總務單位負責管理及維護；職業安全衛生管理單位負責督導管理。各級工作場所管理人對所轄工作場所之設備、設施，發現有危險或有害之虞，應即關閉電源或其他控制開關，暫停使用，並通報總務單位維護。</w:t>
      </w:r>
    </w:p>
    <w:p w:rsidR="00B86D4C" w:rsidRDefault="002A6305">
      <w:pPr>
        <w:pStyle w:val="ad"/>
        <w:numPr>
          <w:ilvl w:val="0"/>
          <w:numId w:val="3"/>
        </w:numPr>
        <w:snapToGrid w:val="0"/>
        <w:spacing w:line="360" w:lineRule="auto"/>
        <w:ind w:left="1418" w:hanging="1418"/>
        <w:jc w:val="both"/>
        <w:rPr>
          <w:rFonts w:ascii="標楷體" w:eastAsia="標楷體" w:hAnsi="標楷體" w:cs="細明體"/>
          <w:kern w:val="0"/>
          <w:sz w:val="28"/>
          <w:szCs w:val="28"/>
        </w:rPr>
      </w:pPr>
      <w:r>
        <w:rPr>
          <w:rFonts w:ascii="標楷體" w:eastAsia="標楷體" w:hAnsi="標楷體" w:cs="細明體"/>
          <w:kern w:val="0"/>
          <w:sz w:val="28"/>
          <w:szCs w:val="28"/>
        </w:rPr>
        <w:t>本守則適用對象，使用本校工作場所之機械、設備、器具或作業設施，應先行實施安全衛生自動檢查工作。發現有危險或危害之虞，應即停用並關閉電源或其他控制開關，掛標示牌暫停使用，並通報代表工作場所負責人及總務單位維護。</w:t>
      </w:r>
    </w:p>
    <w:p w:rsidR="00B86D4C" w:rsidRDefault="002A6305">
      <w:pPr>
        <w:pStyle w:val="ad"/>
        <w:numPr>
          <w:ilvl w:val="0"/>
          <w:numId w:val="3"/>
        </w:numPr>
        <w:snapToGrid w:val="0"/>
        <w:spacing w:line="360" w:lineRule="auto"/>
        <w:ind w:left="1418" w:hanging="1418"/>
        <w:jc w:val="both"/>
        <w:rPr>
          <w:rFonts w:ascii="標楷體" w:eastAsia="標楷體" w:hAnsi="標楷體" w:cs="細明體"/>
          <w:kern w:val="0"/>
          <w:sz w:val="28"/>
          <w:szCs w:val="28"/>
        </w:rPr>
      </w:pPr>
      <w:r>
        <w:rPr>
          <w:rFonts w:ascii="標楷體" w:eastAsia="標楷體" w:hAnsi="標楷體" w:cs="細明體"/>
          <w:kern w:val="0"/>
          <w:sz w:val="28"/>
          <w:szCs w:val="28"/>
        </w:rPr>
        <w:t>工作場所使用之機械、設備、器具或作業設施於自動檢查發現或接獲通報有危險或危害之虞，應即禁止使用，並實施安全管制。且立即僱請廠商修繕，非確認維護正常或測試安全，不得開放使用。</w:t>
      </w:r>
    </w:p>
    <w:p w:rsidR="00B86D4C" w:rsidRDefault="002A6305">
      <w:pPr>
        <w:pStyle w:val="ad"/>
        <w:numPr>
          <w:ilvl w:val="0"/>
          <w:numId w:val="3"/>
        </w:numPr>
        <w:snapToGrid w:val="0"/>
        <w:spacing w:line="360" w:lineRule="auto"/>
        <w:ind w:left="1418" w:hanging="1418"/>
        <w:jc w:val="both"/>
        <w:rPr>
          <w:rFonts w:ascii="標楷體" w:eastAsia="標楷體" w:hAnsi="標楷體" w:cs="細明體"/>
          <w:kern w:val="0"/>
          <w:sz w:val="28"/>
          <w:szCs w:val="28"/>
        </w:rPr>
      </w:pPr>
      <w:r>
        <w:rPr>
          <w:rFonts w:ascii="標楷體" w:eastAsia="標楷體" w:hAnsi="標楷體" w:cs="細明體"/>
          <w:kern w:val="0"/>
          <w:sz w:val="28"/>
          <w:szCs w:val="28"/>
        </w:rPr>
        <w:t>本校工作場所之機械、設備、器具或作業設施或其他機械設備轉動部位之掃除、上油、檢查、修理或調整等作業，應於該機</w:t>
      </w:r>
      <w:r>
        <w:rPr>
          <w:rFonts w:ascii="標楷體" w:eastAsia="標楷體" w:hAnsi="標楷體" w:cs="細明體"/>
          <w:kern w:val="0"/>
          <w:sz w:val="28"/>
          <w:szCs w:val="28"/>
        </w:rPr>
        <w:lastRenderedPageBreak/>
        <w:t>械設備完全停止運轉後，始得為之；必要時應隔離電源。</w:t>
      </w:r>
    </w:p>
    <w:p w:rsidR="00B86D4C" w:rsidRDefault="002A6305">
      <w:pPr>
        <w:snapToGrid w:val="0"/>
        <w:spacing w:line="360" w:lineRule="auto"/>
        <w:jc w:val="both"/>
        <w:rPr>
          <w:rFonts w:ascii="標楷體" w:eastAsia="標楷體" w:hAnsi="標楷體"/>
          <w:b/>
          <w:sz w:val="28"/>
          <w:szCs w:val="28"/>
        </w:rPr>
      </w:pPr>
      <w:r>
        <w:rPr>
          <w:rFonts w:ascii="標楷體" w:eastAsia="標楷體" w:hAnsi="標楷體"/>
          <w:b/>
          <w:sz w:val="28"/>
          <w:szCs w:val="28"/>
        </w:rPr>
        <w:t>第肆章   工作安全及衛生標準</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對於</w:t>
      </w:r>
      <w:r>
        <w:rPr>
          <w:rFonts w:ascii="Times New Roman" w:eastAsia="標楷體" w:hAnsi="Times New Roman"/>
          <w:sz w:val="28"/>
          <w:szCs w:val="28"/>
        </w:rPr>
        <w:t>進行</w:t>
      </w:r>
      <w:r>
        <w:rPr>
          <w:rFonts w:ascii="標楷體" w:eastAsia="標楷體" w:hAnsi="標楷體"/>
          <w:sz w:val="28"/>
          <w:szCs w:val="28"/>
        </w:rPr>
        <w:t>營繕工程(含修繕作業)工作場所，應依下列規定設置適當區隔、圍籬、警告標示：</w:t>
      </w:r>
    </w:p>
    <w:p w:rsidR="00B86D4C" w:rsidRDefault="002A6305">
      <w:pPr>
        <w:snapToGrid w:val="0"/>
        <w:spacing w:line="360" w:lineRule="auto"/>
        <w:ind w:left="2268" w:hanging="566"/>
        <w:jc w:val="both"/>
        <w:rPr>
          <w:rFonts w:ascii="標楷體" w:eastAsia="標楷體" w:hAnsi="標楷體"/>
          <w:sz w:val="28"/>
          <w:szCs w:val="28"/>
        </w:rPr>
      </w:pPr>
      <w:r>
        <w:rPr>
          <w:rFonts w:ascii="標楷體" w:eastAsia="標楷體" w:hAnsi="標楷體"/>
          <w:sz w:val="28"/>
          <w:szCs w:val="28"/>
        </w:rPr>
        <w:t>一、工作場所之周圍應設置固定式圍籬，並於明顯位置裝設警告標示。</w:t>
      </w:r>
    </w:p>
    <w:p w:rsidR="00B86D4C" w:rsidRDefault="002A6305">
      <w:pPr>
        <w:snapToGrid w:val="0"/>
        <w:spacing w:line="360" w:lineRule="auto"/>
        <w:ind w:left="2268" w:hanging="566"/>
        <w:jc w:val="both"/>
        <w:rPr>
          <w:rFonts w:ascii="標楷體" w:eastAsia="標楷體" w:hAnsi="標楷體"/>
          <w:sz w:val="28"/>
          <w:szCs w:val="28"/>
        </w:rPr>
      </w:pPr>
      <w:r>
        <w:rPr>
          <w:rFonts w:ascii="標楷體" w:eastAsia="標楷體" w:hAnsi="標楷體"/>
          <w:sz w:val="28"/>
          <w:szCs w:val="28"/>
        </w:rPr>
        <w:t>二、大規模施工之土木工程，或設置前款圍籬有困難之其他工程，得於其工作場所周圍以移動式圍籬、警示帶圍成之警示區替代之。</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對於進入營繕工程(含修繕作業)工作場所作業人員，應由雇主提供適當安全帽等個人防護器具，並使其正確戴用。</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工作場所、機械、</w:t>
      </w:r>
      <w:r>
        <w:rPr>
          <w:rFonts w:ascii="標楷體" w:eastAsia="標楷體" w:hAnsi="標楷體" w:cs="新細明體"/>
          <w:kern w:val="0"/>
          <w:sz w:val="28"/>
          <w:szCs w:val="28"/>
        </w:rPr>
        <w:t>設備依規定所裝置之各種安全衛生安全防護裝置或措施或</w:t>
      </w:r>
      <w:r>
        <w:rPr>
          <w:rFonts w:ascii="標楷體" w:eastAsia="標楷體" w:hAnsi="標楷體"/>
          <w:sz w:val="28"/>
          <w:szCs w:val="28"/>
        </w:rPr>
        <w:t>設備，工作者應遵守下列事項：</w:t>
      </w:r>
    </w:p>
    <w:p w:rsidR="00B86D4C" w:rsidRDefault="002A6305">
      <w:pPr>
        <w:numPr>
          <w:ilvl w:val="0"/>
          <w:numId w:val="11"/>
        </w:numPr>
        <w:tabs>
          <w:tab w:val="left" w:pos="1985"/>
        </w:tabs>
        <w:snapToGrid w:val="0"/>
        <w:spacing w:line="360" w:lineRule="auto"/>
        <w:ind w:left="2282" w:hanging="567"/>
        <w:jc w:val="both"/>
        <w:rPr>
          <w:rFonts w:ascii="標楷體" w:eastAsia="標楷體" w:hAnsi="標楷體"/>
          <w:sz w:val="28"/>
          <w:szCs w:val="28"/>
        </w:rPr>
      </w:pPr>
      <w:r>
        <w:rPr>
          <w:rFonts w:ascii="標楷體" w:eastAsia="標楷體" w:hAnsi="標楷體"/>
          <w:sz w:val="28"/>
          <w:szCs w:val="28"/>
        </w:rPr>
        <w:t>不得任意拆卸或使其失去效能。</w:t>
      </w:r>
    </w:p>
    <w:p w:rsidR="00B86D4C" w:rsidRDefault="002A6305">
      <w:pPr>
        <w:numPr>
          <w:ilvl w:val="0"/>
          <w:numId w:val="11"/>
        </w:numPr>
        <w:tabs>
          <w:tab w:val="left" w:pos="1985"/>
        </w:tabs>
        <w:snapToGrid w:val="0"/>
        <w:spacing w:line="360" w:lineRule="auto"/>
        <w:ind w:left="2282" w:hanging="567"/>
        <w:jc w:val="both"/>
        <w:rPr>
          <w:rFonts w:ascii="標楷體" w:eastAsia="標楷體" w:hAnsi="標楷體"/>
          <w:sz w:val="28"/>
          <w:szCs w:val="28"/>
        </w:rPr>
      </w:pPr>
      <w:r>
        <w:rPr>
          <w:rFonts w:ascii="標楷體" w:eastAsia="標楷體" w:hAnsi="標楷體"/>
          <w:sz w:val="28"/>
          <w:szCs w:val="28"/>
        </w:rPr>
        <w:t>如確因工作需要，暫時拆除或使其失去原有效能時，應於工作完畢後，立即恢復原狀。</w:t>
      </w:r>
    </w:p>
    <w:p w:rsidR="00B86D4C" w:rsidRDefault="002A6305">
      <w:pPr>
        <w:numPr>
          <w:ilvl w:val="0"/>
          <w:numId w:val="11"/>
        </w:numPr>
        <w:tabs>
          <w:tab w:val="left" w:pos="1985"/>
        </w:tabs>
        <w:snapToGrid w:val="0"/>
        <w:spacing w:line="360" w:lineRule="auto"/>
        <w:ind w:left="2282" w:hanging="567"/>
        <w:jc w:val="both"/>
        <w:rPr>
          <w:rFonts w:ascii="標楷體" w:eastAsia="標楷體" w:hAnsi="標楷體"/>
          <w:sz w:val="28"/>
          <w:szCs w:val="28"/>
        </w:rPr>
      </w:pPr>
      <w:r>
        <w:rPr>
          <w:rFonts w:ascii="標楷體" w:eastAsia="標楷體" w:hAnsi="標楷體"/>
          <w:sz w:val="28"/>
          <w:szCs w:val="28"/>
        </w:rPr>
        <w:t>發現被拆除或有喪失其效能時，應依權責予以補救並報告上級主管。</w:t>
      </w:r>
    </w:p>
    <w:p w:rsidR="00B86D4C" w:rsidRDefault="002A6305">
      <w:pPr>
        <w:pStyle w:val="ad"/>
        <w:numPr>
          <w:ilvl w:val="0"/>
          <w:numId w:val="3"/>
        </w:numPr>
        <w:snapToGrid w:val="0"/>
        <w:spacing w:line="360" w:lineRule="auto"/>
        <w:ind w:left="1701" w:hanging="1701"/>
        <w:jc w:val="both"/>
      </w:pPr>
      <w:r>
        <w:rPr>
          <w:rFonts w:ascii="標楷體" w:eastAsia="標楷體" w:hAnsi="標楷體" w:cs="新細明體"/>
          <w:kern w:val="0"/>
          <w:sz w:val="28"/>
          <w:szCs w:val="28"/>
        </w:rPr>
        <w:t>對於物料之搬運，應儘量利用機械以代替人力，凡四十公斤以上</w:t>
      </w:r>
      <w:r>
        <w:rPr>
          <w:rFonts w:ascii="Times New Roman" w:eastAsia="標楷體" w:hAnsi="Times New Roman"/>
          <w:sz w:val="28"/>
          <w:szCs w:val="28"/>
        </w:rPr>
        <w:t>物品</w:t>
      </w:r>
      <w:r>
        <w:rPr>
          <w:rFonts w:ascii="標楷體" w:eastAsia="標楷體" w:hAnsi="標楷體" w:cs="新細明體"/>
          <w:kern w:val="0"/>
          <w:sz w:val="28"/>
          <w:szCs w:val="28"/>
        </w:rPr>
        <w:t>，以人力車輛或工具搬運為原則，五百公斤以上物品，以機動車輛或其他機械搬運為宜；運輸路線，應妥善規劃，並作標示。</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為</w:t>
      </w:r>
      <w:r>
        <w:rPr>
          <w:rFonts w:ascii="標楷體" w:eastAsia="標楷體" w:hAnsi="標楷體" w:cs="新細明體"/>
          <w:kern w:val="0"/>
          <w:sz w:val="28"/>
          <w:szCs w:val="28"/>
        </w:rPr>
        <w:t>防止</w:t>
      </w:r>
      <w:r>
        <w:rPr>
          <w:rFonts w:ascii="標楷體" w:eastAsia="標楷體" w:hAnsi="標楷體"/>
          <w:sz w:val="28"/>
          <w:szCs w:val="28"/>
        </w:rPr>
        <w:t>墜落災害，高處作業之工作者應遵守下列事項：</w:t>
      </w:r>
    </w:p>
    <w:p w:rsidR="00B86D4C" w:rsidRDefault="002A6305">
      <w:pPr>
        <w:numPr>
          <w:ilvl w:val="0"/>
          <w:numId w:val="12"/>
        </w:numPr>
        <w:tabs>
          <w:tab w:val="left" w:pos="2086"/>
        </w:tabs>
        <w:snapToGrid w:val="0"/>
        <w:spacing w:line="360" w:lineRule="auto"/>
        <w:ind w:left="2352" w:hanging="672"/>
        <w:jc w:val="both"/>
        <w:rPr>
          <w:rFonts w:ascii="標楷體" w:eastAsia="標楷體" w:hAnsi="標楷體"/>
          <w:sz w:val="28"/>
          <w:szCs w:val="28"/>
        </w:rPr>
      </w:pPr>
      <w:r>
        <w:rPr>
          <w:rFonts w:ascii="標楷體" w:eastAsia="標楷體" w:hAnsi="標楷體"/>
          <w:sz w:val="28"/>
          <w:szCs w:val="28"/>
        </w:rPr>
        <w:t>在高度2公尺以上處所進行作業時，應於該處所架設施工架等方法設置工作台。</w:t>
      </w:r>
    </w:p>
    <w:p w:rsidR="00B86D4C" w:rsidRDefault="002A6305">
      <w:pPr>
        <w:numPr>
          <w:ilvl w:val="0"/>
          <w:numId w:val="12"/>
        </w:numPr>
        <w:tabs>
          <w:tab w:val="left" w:pos="2086"/>
        </w:tabs>
        <w:snapToGrid w:val="0"/>
        <w:spacing w:line="360" w:lineRule="auto"/>
        <w:ind w:left="2352" w:hanging="672"/>
        <w:jc w:val="both"/>
        <w:rPr>
          <w:rFonts w:ascii="標楷體" w:eastAsia="標楷體" w:hAnsi="標楷體"/>
          <w:sz w:val="28"/>
          <w:szCs w:val="28"/>
        </w:rPr>
      </w:pPr>
      <w:r>
        <w:rPr>
          <w:rFonts w:ascii="標楷體" w:eastAsia="標楷體" w:hAnsi="標楷體"/>
          <w:sz w:val="28"/>
          <w:szCs w:val="28"/>
        </w:rPr>
        <w:lastRenderedPageBreak/>
        <w:t>在高度2公尺以上之屋頂、地面、樓面、牆面開口部分，階梯、坡道、工作台等場所作業時，應裝置護欄、護網或設置護蓋等設施。</w:t>
      </w:r>
    </w:p>
    <w:p w:rsidR="00B86D4C" w:rsidRDefault="002A6305">
      <w:pPr>
        <w:numPr>
          <w:ilvl w:val="0"/>
          <w:numId w:val="12"/>
        </w:numPr>
        <w:tabs>
          <w:tab w:val="left" w:pos="2086"/>
        </w:tabs>
        <w:snapToGrid w:val="0"/>
        <w:spacing w:line="360" w:lineRule="auto"/>
        <w:ind w:left="2352" w:hanging="672"/>
        <w:jc w:val="both"/>
        <w:rPr>
          <w:rFonts w:ascii="標楷體" w:eastAsia="標楷體" w:hAnsi="標楷體"/>
          <w:sz w:val="28"/>
          <w:szCs w:val="28"/>
        </w:rPr>
      </w:pPr>
      <w:r>
        <w:rPr>
          <w:rFonts w:ascii="標楷體" w:eastAsia="標楷體" w:hAnsi="標楷體"/>
          <w:sz w:val="28"/>
          <w:szCs w:val="28"/>
        </w:rPr>
        <w:t>高度在1.5公尺以上之作業場所，應設置安全上下之設備。</w:t>
      </w:r>
    </w:p>
    <w:p w:rsidR="00B86D4C" w:rsidRDefault="002A6305">
      <w:pPr>
        <w:numPr>
          <w:ilvl w:val="0"/>
          <w:numId w:val="12"/>
        </w:numPr>
        <w:tabs>
          <w:tab w:val="left" w:pos="2086"/>
        </w:tabs>
        <w:snapToGrid w:val="0"/>
        <w:spacing w:line="360" w:lineRule="auto"/>
        <w:ind w:left="2352" w:hanging="672"/>
        <w:jc w:val="both"/>
        <w:rPr>
          <w:rFonts w:ascii="標楷體" w:eastAsia="標楷體" w:hAnsi="標楷體"/>
          <w:sz w:val="28"/>
          <w:szCs w:val="28"/>
        </w:rPr>
      </w:pPr>
      <w:r>
        <w:rPr>
          <w:rFonts w:ascii="標楷體" w:eastAsia="標楷體" w:hAnsi="標楷體"/>
          <w:sz w:val="28"/>
          <w:szCs w:val="28"/>
        </w:rPr>
        <w:t>在高度2公尺以上處所作業時，應確實使用安全帶、安全帽等必要之防護具。</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為防止電氣災害，所有作業之工作者應遵守下列事項：</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電氣器材之裝設與保養，非合格之電氣技術人員不得為之。</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為調整、修理電氣機械設備時，其開關切斷後，應於開關處掛牌揭示之。</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發電室、變電室或受電室等處所，非電氣技術人員不得進入。</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不宜肩負過長之鐵（鋼、銅、鋁）管、竹梯等長形物接近高壓電氣線路。</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電氣開關之啟閉應切實，如有加鎖設備，則應於操作後確實加鎖。</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拔卸電氣插頭時，應拔插頭，不宜拉導線。</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切斷電氣開關動作，應迅速切實。</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不得以濕手或濕操作棒，操作電氣開關。</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於潮濕地帶或良導體內部使用之電氣機具，各線路應設置漏電斷路器。</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電動機具之外殼應妥為接地。</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t>使用之交流電焊機應裝設自動電擊防止裝置。</w:t>
      </w:r>
    </w:p>
    <w:p w:rsidR="00B86D4C" w:rsidRDefault="002A6305">
      <w:pPr>
        <w:numPr>
          <w:ilvl w:val="0"/>
          <w:numId w:val="13"/>
        </w:numPr>
        <w:tabs>
          <w:tab w:val="left" w:pos="2100"/>
        </w:tabs>
        <w:snapToGrid w:val="0"/>
        <w:spacing w:line="360" w:lineRule="auto"/>
        <w:ind w:left="2310" w:hanging="588"/>
        <w:jc w:val="both"/>
        <w:rPr>
          <w:rFonts w:ascii="標楷體" w:eastAsia="標楷體" w:hAnsi="標楷體"/>
          <w:sz w:val="28"/>
          <w:szCs w:val="28"/>
        </w:rPr>
      </w:pPr>
      <w:r>
        <w:rPr>
          <w:rFonts w:ascii="標楷體" w:eastAsia="標楷體" w:hAnsi="標楷體"/>
          <w:sz w:val="28"/>
          <w:szCs w:val="28"/>
        </w:rPr>
        <w:lastRenderedPageBreak/>
        <w:t>於架空電線或電氣機具電路接近場所工作，該電路四周應設置絕緣用防護裝置。</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為</w:t>
      </w:r>
      <w:r>
        <w:rPr>
          <w:rFonts w:ascii="標楷體" w:eastAsia="標楷體" w:hAnsi="標楷體" w:cs="新細明體"/>
          <w:kern w:val="0"/>
          <w:sz w:val="28"/>
          <w:szCs w:val="28"/>
        </w:rPr>
        <w:t>防止</w:t>
      </w:r>
      <w:r>
        <w:rPr>
          <w:rFonts w:ascii="標楷體" w:eastAsia="標楷體" w:hAnsi="標楷體"/>
          <w:sz w:val="28"/>
          <w:szCs w:val="28"/>
        </w:rPr>
        <w:t>堆置物件發生倒塌、崩塌或掉落，所有作業工作者應遵守下列事項：</w:t>
      </w:r>
    </w:p>
    <w:p w:rsidR="00B86D4C" w:rsidRDefault="002A6305">
      <w:pPr>
        <w:numPr>
          <w:ilvl w:val="0"/>
          <w:numId w:val="14"/>
        </w:numPr>
        <w:tabs>
          <w:tab w:val="left" w:pos="1985"/>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應使用繩索捆綁、加置護網、設置擋樁、限制高度或變更堆積等方式。</w:t>
      </w:r>
    </w:p>
    <w:p w:rsidR="00B86D4C" w:rsidRDefault="002A6305">
      <w:pPr>
        <w:numPr>
          <w:ilvl w:val="0"/>
          <w:numId w:val="14"/>
        </w:numPr>
        <w:tabs>
          <w:tab w:val="left" w:pos="1985"/>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除作業人員外其他無關人員不准進入該場所內。</w:t>
      </w:r>
    </w:p>
    <w:p w:rsidR="00B86D4C" w:rsidRDefault="002A6305">
      <w:pPr>
        <w:numPr>
          <w:ilvl w:val="0"/>
          <w:numId w:val="14"/>
        </w:numPr>
        <w:tabs>
          <w:tab w:val="left" w:pos="1985"/>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施工架應與建築物妥實連接或以斜撐作適當而充分之支撐。</w:t>
      </w:r>
    </w:p>
    <w:p w:rsidR="00B86D4C" w:rsidRDefault="002A6305">
      <w:pPr>
        <w:numPr>
          <w:ilvl w:val="0"/>
          <w:numId w:val="14"/>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鋼管支撐之支柱，於高度2公尺以內，應設置足夠強度之縱向、橫向水平繫條。</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對於</w:t>
      </w:r>
      <w:r>
        <w:rPr>
          <w:rFonts w:ascii="標楷體" w:eastAsia="標楷體" w:hAnsi="標楷體" w:cs="?啁敦??"/>
          <w:kern w:val="0"/>
          <w:sz w:val="28"/>
          <w:szCs w:val="28"/>
        </w:rPr>
        <w:t>工作者使用之合梯，不得以合梯當作兩工作面之上下</w:t>
      </w:r>
      <w:r>
        <w:rPr>
          <w:rFonts w:ascii="標楷體" w:eastAsia="標楷體" w:hAnsi="標楷體" w:cs="新細明體"/>
          <w:kern w:val="0"/>
          <w:sz w:val="28"/>
          <w:szCs w:val="28"/>
        </w:rPr>
        <w:t>設備</w:t>
      </w:r>
      <w:r>
        <w:rPr>
          <w:rFonts w:ascii="標楷體" w:eastAsia="標楷體" w:hAnsi="標楷體" w:cs="?啁敦??"/>
          <w:kern w:val="0"/>
          <w:sz w:val="28"/>
          <w:szCs w:val="28"/>
        </w:rPr>
        <w:t>使用，並禁止站立於頂板作業，且應符合下列規定：</w:t>
      </w:r>
    </w:p>
    <w:p w:rsidR="00B86D4C" w:rsidRDefault="002A6305">
      <w:pPr>
        <w:autoSpaceDE w:val="0"/>
        <w:spacing w:line="360" w:lineRule="auto"/>
        <w:ind w:firstLine="1700"/>
        <w:rPr>
          <w:rFonts w:ascii="標楷體" w:eastAsia="標楷體" w:hAnsi="標楷體" w:cs="?啁敦??"/>
          <w:kern w:val="0"/>
          <w:sz w:val="28"/>
          <w:szCs w:val="28"/>
        </w:rPr>
      </w:pPr>
      <w:r>
        <w:rPr>
          <w:rFonts w:ascii="標楷體" w:eastAsia="標楷體" w:hAnsi="標楷體" w:cs="?啁敦??"/>
          <w:kern w:val="0"/>
          <w:sz w:val="28"/>
          <w:szCs w:val="28"/>
        </w:rPr>
        <w:t>一、 具有堅固之構造。</w:t>
      </w:r>
    </w:p>
    <w:p w:rsidR="00B86D4C" w:rsidRDefault="002A6305">
      <w:pPr>
        <w:autoSpaceDE w:val="0"/>
        <w:spacing w:line="360" w:lineRule="auto"/>
        <w:ind w:firstLine="1700"/>
        <w:rPr>
          <w:rFonts w:ascii="標楷體" w:eastAsia="標楷體" w:hAnsi="標楷體" w:cs="?啁敦??"/>
          <w:kern w:val="0"/>
          <w:sz w:val="28"/>
          <w:szCs w:val="28"/>
        </w:rPr>
      </w:pPr>
      <w:r>
        <w:rPr>
          <w:rFonts w:ascii="標楷體" w:eastAsia="標楷體" w:hAnsi="標楷體" w:cs="?啁敦??"/>
          <w:kern w:val="0"/>
          <w:sz w:val="28"/>
          <w:szCs w:val="28"/>
        </w:rPr>
        <w:t>二、 其材質不得有顯著之損傷、腐蝕等。</w:t>
      </w:r>
    </w:p>
    <w:p w:rsidR="00B86D4C" w:rsidRDefault="002A6305">
      <w:pPr>
        <w:autoSpaceDE w:val="0"/>
        <w:spacing w:line="360" w:lineRule="auto"/>
        <w:ind w:left="2410" w:hanging="708"/>
        <w:rPr>
          <w:rFonts w:ascii="標楷體" w:eastAsia="標楷體" w:hAnsi="標楷體" w:cs="?啁敦??"/>
          <w:kern w:val="0"/>
          <w:sz w:val="28"/>
          <w:szCs w:val="28"/>
        </w:rPr>
      </w:pPr>
      <w:r>
        <w:rPr>
          <w:rFonts w:ascii="標楷體" w:eastAsia="標楷體" w:hAnsi="標楷體" w:cs="?啁敦??"/>
          <w:kern w:val="0"/>
          <w:sz w:val="28"/>
          <w:szCs w:val="28"/>
        </w:rPr>
        <w:t>三、 梯腳與地面之角度應在七十五度以內，且兩梯腳間有金屬等硬質繫材扣牢，腳部有防滑絕緣腳座套。</w:t>
      </w:r>
    </w:p>
    <w:p w:rsidR="00B86D4C" w:rsidRDefault="002A6305">
      <w:pPr>
        <w:autoSpaceDE w:val="0"/>
        <w:spacing w:line="360" w:lineRule="auto"/>
        <w:ind w:firstLine="1700"/>
        <w:rPr>
          <w:rFonts w:ascii="標楷體" w:eastAsia="標楷體" w:hAnsi="標楷體" w:cs="?啁敦??"/>
          <w:kern w:val="0"/>
          <w:sz w:val="28"/>
          <w:szCs w:val="28"/>
        </w:rPr>
      </w:pPr>
      <w:r>
        <w:rPr>
          <w:rFonts w:ascii="標楷體" w:eastAsia="標楷體" w:hAnsi="標楷體" w:cs="?啁敦??"/>
          <w:kern w:val="0"/>
          <w:sz w:val="28"/>
          <w:szCs w:val="28"/>
        </w:rPr>
        <w:t>四、 有安全之防滑梯面。</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對於下列場所之照明設備，應保持其適當照明，遇有損壞，應即修復：</w:t>
      </w:r>
    </w:p>
    <w:p w:rsidR="00B86D4C" w:rsidRDefault="002A6305">
      <w:pPr>
        <w:snapToGrid w:val="0"/>
        <w:spacing w:line="360" w:lineRule="auto"/>
        <w:ind w:left="1416" w:firstLine="283"/>
        <w:jc w:val="both"/>
        <w:rPr>
          <w:rFonts w:ascii="標楷體" w:eastAsia="標楷體" w:hAnsi="標楷體"/>
          <w:sz w:val="28"/>
          <w:szCs w:val="28"/>
        </w:rPr>
      </w:pPr>
      <w:r>
        <w:rPr>
          <w:rFonts w:ascii="標楷體" w:eastAsia="標楷體" w:hAnsi="標楷體"/>
          <w:sz w:val="28"/>
          <w:szCs w:val="28"/>
        </w:rPr>
        <w:t>一、階梯、升降機及出入口。</w:t>
      </w:r>
    </w:p>
    <w:p w:rsidR="00B86D4C" w:rsidRDefault="002A6305">
      <w:pPr>
        <w:snapToGrid w:val="0"/>
        <w:spacing w:line="360" w:lineRule="auto"/>
        <w:ind w:left="1416" w:firstLine="283"/>
        <w:jc w:val="both"/>
        <w:rPr>
          <w:rFonts w:ascii="標楷體" w:eastAsia="標楷體" w:hAnsi="標楷體"/>
          <w:sz w:val="28"/>
          <w:szCs w:val="28"/>
        </w:rPr>
      </w:pPr>
      <w:r>
        <w:rPr>
          <w:rFonts w:ascii="標楷體" w:eastAsia="標楷體" w:hAnsi="標楷體"/>
          <w:sz w:val="28"/>
          <w:szCs w:val="28"/>
        </w:rPr>
        <w:t>二、電氣機械器具操作部份。</w:t>
      </w:r>
    </w:p>
    <w:p w:rsidR="00B86D4C" w:rsidRDefault="002A6305">
      <w:pPr>
        <w:snapToGrid w:val="0"/>
        <w:spacing w:line="360" w:lineRule="auto"/>
        <w:ind w:left="1416" w:firstLine="283"/>
        <w:jc w:val="both"/>
        <w:rPr>
          <w:rFonts w:ascii="標楷體" w:eastAsia="標楷體" w:hAnsi="標楷體"/>
          <w:sz w:val="28"/>
          <w:szCs w:val="28"/>
        </w:rPr>
      </w:pPr>
      <w:r>
        <w:rPr>
          <w:rFonts w:ascii="標楷體" w:eastAsia="標楷體" w:hAnsi="標楷體"/>
          <w:sz w:val="28"/>
          <w:szCs w:val="28"/>
        </w:rPr>
        <w:t>三、高壓電氣、配電盤處。</w:t>
      </w:r>
    </w:p>
    <w:p w:rsidR="00B86D4C" w:rsidRDefault="002A6305">
      <w:pPr>
        <w:snapToGrid w:val="0"/>
        <w:spacing w:line="360" w:lineRule="auto"/>
        <w:ind w:left="1416" w:firstLine="283"/>
        <w:jc w:val="both"/>
        <w:rPr>
          <w:rFonts w:ascii="標楷體" w:eastAsia="標楷體" w:hAnsi="標楷體"/>
          <w:sz w:val="28"/>
          <w:szCs w:val="28"/>
        </w:rPr>
      </w:pPr>
      <w:r>
        <w:rPr>
          <w:rFonts w:ascii="標楷體" w:eastAsia="標楷體" w:hAnsi="標楷體"/>
          <w:sz w:val="28"/>
          <w:szCs w:val="28"/>
        </w:rPr>
        <w:t>四、高度二公尺以上之勞工作業場所。</w:t>
      </w:r>
    </w:p>
    <w:p w:rsidR="00B86D4C" w:rsidRDefault="002A6305">
      <w:pPr>
        <w:snapToGrid w:val="0"/>
        <w:spacing w:line="360" w:lineRule="auto"/>
        <w:ind w:left="1416" w:firstLine="283"/>
        <w:jc w:val="both"/>
        <w:rPr>
          <w:rFonts w:ascii="標楷體" w:eastAsia="標楷體" w:hAnsi="標楷體"/>
          <w:sz w:val="28"/>
          <w:szCs w:val="28"/>
        </w:rPr>
      </w:pPr>
      <w:r>
        <w:rPr>
          <w:rFonts w:ascii="標楷體" w:eastAsia="標楷體" w:hAnsi="標楷體"/>
          <w:sz w:val="28"/>
          <w:szCs w:val="28"/>
        </w:rPr>
        <w:t>五、堆積或拆卸作業場所。</w:t>
      </w:r>
    </w:p>
    <w:p w:rsidR="00B86D4C" w:rsidRDefault="002A6305">
      <w:pPr>
        <w:snapToGrid w:val="0"/>
        <w:spacing w:line="360" w:lineRule="auto"/>
        <w:ind w:left="1416" w:firstLine="283"/>
        <w:jc w:val="both"/>
        <w:rPr>
          <w:rFonts w:ascii="標楷體" w:eastAsia="標楷體" w:hAnsi="標楷體"/>
          <w:sz w:val="28"/>
          <w:szCs w:val="28"/>
        </w:rPr>
      </w:pPr>
      <w:r>
        <w:rPr>
          <w:rFonts w:ascii="標楷體" w:eastAsia="標楷體" w:hAnsi="標楷體"/>
          <w:sz w:val="28"/>
          <w:szCs w:val="28"/>
        </w:rPr>
        <w:lastRenderedPageBreak/>
        <w:t>六、其他易因光線不足引起勞工災害之場所。</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對於工作場所，應經常保持清潔，並防止鼠類、蚊蟲及其他病媒等對勞工健康之危害。</w:t>
      </w:r>
    </w:p>
    <w:p w:rsidR="00B86D4C" w:rsidRDefault="002A6305">
      <w:pPr>
        <w:pStyle w:val="ad"/>
        <w:numPr>
          <w:ilvl w:val="0"/>
          <w:numId w:val="3"/>
        </w:numPr>
        <w:snapToGrid w:val="0"/>
        <w:spacing w:line="360" w:lineRule="auto"/>
        <w:ind w:left="1701" w:hanging="1701"/>
        <w:jc w:val="both"/>
        <w:rPr>
          <w:rFonts w:ascii="標楷體" w:eastAsia="標楷體" w:hAnsi="標楷體" w:cs="?啁敦??"/>
          <w:kern w:val="0"/>
          <w:sz w:val="28"/>
          <w:szCs w:val="28"/>
        </w:rPr>
      </w:pPr>
      <w:r>
        <w:rPr>
          <w:rFonts w:ascii="標楷體" w:eastAsia="標楷體" w:hAnsi="標楷體" w:cs="?啁敦??"/>
          <w:kern w:val="0"/>
          <w:sz w:val="28"/>
          <w:szCs w:val="28"/>
        </w:rPr>
        <w:t>不得使妊娠中之女性勞工從事下列危險性或有害性工作：</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一、礦坑工作。</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二、鉛及其化合物散布場所之工作。</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三、異常氣壓之工作。</w:t>
      </w:r>
    </w:p>
    <w:p w:rsidR="00B86D4C" w:rsidRDefault="002A6305">
      <w:pPr>
        <w:snapToGrid w:val="0"/>
        <w:spacing w:line="360" w:lineRule="auto"/>
        <w:ind w:left="2269" w:hanging="567"/>
        <w:jc w:val="both"/>
        <w:rPr>
          <w:rFonts w:ascii="標楷體" w:eastAsia="標楷體" w:hAnsi="標楷體"/>
          <w:sz w:val="28"/>
          <w:szCs w:val="28"/>
        </w:rPr>
      </w:pPr>
      <w:r>
        <w:rPr>
          <w:rFonts w:ascii="標楷體" w:eastAsia="標楷體" w:hAnsi="標楷體"/>
          <w:sz w:val="28"/>
          <w:szCs w:val="28"/>
        </w:rPr>
        <w:t>四、處理或暴露於弓形蟲、德國麻疹等影響胎兒健康之工作。</w:t>
      </w:r>
    </w:p>
    <w:p w:rsidR="00B86D4C" w:rsidRDefault="002A6305">
      <w:pPr>
        <w:snapToGrid w:val="0"/>
        <w:spacing w:line="360" w:lineRule="auto"/>
        <w:ind w:left="2269" w:hanging="567"/>
        <w:jc w:val="both"/>
        <w:rPr>
          <w:rFonts w:ascii="標楷體" w:eastAsia="標楷體" w:hAnsi="標楷體"/>
          <w:sz w:val="28"/>
          <w:szCs w:val="28"/>
        </w:rPr>
      </w:pPr>
      <w:r>
        <w:rPr>
          <w:rFonts w:ascii="標楷體" w:eastAsia="標楷體" w:hAnsi="標楷體"/>
          <w:sz w:val="28"/>
          <w:szCs w:val="28"/>
        </w:rPr>
        <w:t>五、處理或暴露於二硫化碳、三氯乙烯、環氧乙烷、丙烯醯胺、次乙亞胺、砷及其化合物、汞及其無機化合物等經中央主管機關規定之危害性化學品之工作。</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六、鑿岩機及其他有顯著振動之工作。</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七、人力提舉、搬運、推拉重物。</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八、有害輻射散布場所之工作。</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九、已熔礦物或礦渣之處理工作。</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十、起重機、人字臂起重桿之運轉工作。</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十一、動力捲揚機、動力運搬機及索道之運轉工作。</w:t>
      </w:r>
    </w:p>
    <w:p w:rsidR="00B86D4C" w:rsidRDefault="002A6305">
      <w:pPr>
        <w:snapToGrid w:val="0"/>
        <w:spacing w:line="360" w:lineRule="auto"/>
        <w:ind w:left="1721"/>
        <w:jc w:val="both"/>
        <w:rPr>
          <w:rFonts w:ascii="標楷體" w:eastAsia="標楷體" w:hAnsi="標楷體"/>
          <w:sz w:val="28"/>
          <w:szCs w:val="28"/>
        </w:rPr>
      </w:pPr>
      <w:r>
        <w:rPr>
          <w:rFonts w:ascii="標楷體" w:eastAsia="標楷體" w:hAnsi="標楷體"/>
          <w:sz w:val="28"/>
          <w:szCs w:val="28"/>
        </w:rPr>
        <w:t>十二、橡膠化合物及合成樹脂之滾輾工作。</w:t>
      </w:r>
    </w:p>
    <w:p w:rsidR="00B86D4C" w:rsidRDefault="002A6305">
      <w:pPr>
        <w:snapToGrid w:val="0"/>
        <w:spacing w:line="360" w:lineRule="auto"/>
        <w:ind w:left="2407" w:hanging="708"/>
        <w:jc w:val="both"/>
        <w:rPr>
          <w:rFonts w:ascii="標楷體" w:eastAsia="標楷體" w:hAnsi="標楷體"/>
          <w:sz w:val="28"/>
          <w:szCs w:val="28"/>
        </w:rPr>
      </w:pPr>
      <w:r>
        <w:rPr>
          <w:rFonts w:ascii="標楷體" w:eastAsia="標楷體" w:hAnsi="標楷體"/>
          <w:sz w:val="28"/>
          <w:szCs w:val="28"/>
        </w:rPr>
        <w:t>十三、處理或暴露於經中央主管機關規定具有致病或致死之微生物感染風險之工作。</w:t>
      </w:r>
    </w:p>
    <w:p w:rsidR="00B86D4C" w:rsidRDefault="002A6305">
      <w:pPr>
        <w:snapToGrid w:val="0"/>
        <w:spacing w:line="360" w:lineRule="auto"/>
        <w:ind w:left="2407" w:hanging="708"/>
        <w:jc w:val="both"/>
        <w:rPr>
          <w:rFonts w:ascii="標楷體" w:eastAsia="標楷體" w:hAnsi="標楷體"/>
          <w:sz w:val="28"/>
          <w:szCs w:val="28"/>
        </w:rPr>
      </w:pPr>
      <w:r>
        <w:rPr>
          <w:rFonts w:ascii="標楷體" w:eastAsia="標楷體" w:hAnsi="標楷體"/>
          <w:sz w:val="28"/>
          <w:szCs w:val="28"/>
        </w:rPr>
        <w:t>十四、其他經中央主管機關規定之危險性或有害性之工作。</w:t>
      </w:r>
    </w:p>
    <w:p w:rsidR="00B86D4C" w:rsidRDefault="002A6305">
      <w:pPr>
        <w:snapToGrid w:val="0"/>
        <w:spacing w:line="360" w:lineRule="auto"/>
        <w:ind w:left="1751" w:hanging="28"/>
        <w:jc w:val="both"/>
        <w:rPr>
          <w:rFonts w:ascii="標楷體" w:eastAsia="標楷體" w:hAnsi="標楷體"/>
          <w:sz w:val="28"/>
          <w:szCs w:val="28"/>
        </w:rPr>
      </w:pPr>
      <w:r>
        <w:rPr>
          <w:rFonts w:ascii="標楷體" w:eastAsia="標楷體" w:hAnsi="標楷體"/>
          <w:sz w:val="28"/>
          <w:szCs w:val="28"/>
        </w:rPr>
        <w:t>不得使分娩後未滿一年之女性勞工從事下列危險性或有害性工作：</w:t>
      </w:r>
    </w:p>
    <w:p w:rsidR="00B86D4C" w:rsidRDefault="002A6305">
      <w:pPr>
        <w:snapToGrid w:val="0"/>
        <w:spacing w:line="360" w:lineRule="auto"/>
        <w:ind w:firstLine="1764"/>
        <w:jc w:val="both"/>
        <w:rPr>
          <w:rFonts w:ascii="標楷體" w:eastAsia="標楷體" w:hAnsi="標楷體"/>
          <w:sz w:val="28"/>
          <w:szCs w:val="28"/>
        </w:rPr>
      </w:pPr>
      <w:r>
        <w:rPr>
          <w:rFonts w:ascii="標楷體" w:eastAsia="標楷體" w:hAnsi="標楷體"/>
          <w:sz w:val="28"/>
          <w:szCs w:val="28"/>
        </w:rPr>
        <w:t>一、人力提舉、搬運、推拉重物。</w:t>
      </w:r>
    </w:p>
    <w:p w:rsidR="00B86D4C" w:rsidRDefault="002338A8">
      <w:pPr>
        <w:snapToGrid w:val="0"/>
        <w:spacing w:line="360" w:lineRule="auto"/>
        <w:ind w:firstLine="1764"/>
        <w:jc w:val="both"/>
        <w:rPr>
          <w:rFonts w:ascii="標楷體" w:eastAsia="標楷體" w:hAnsi="標楷體"/>
          <w:sz w:val="28"/>
          <w:szCs w:val="28"/>
        </w:rPr>
      </w:pPr>
      <w:r>
        <w:rPr>
          <w:rFonts w:ascii="標楷體" w:eastAsia="標楷體" w:hAnsi="標楷體"/>
          <w:sz w:val="28"/>
          <w:szCs w:val="28"/>
        </w:rPr>
        <w:t>二、其他經中央主管機關規定之危險性或有害性之工作。</w:t>
      </w:r>
    </w:p>
    <w:p w:rsidR="00B86D4C" w:rsidRDefault="002A6305">
      <w:pPr>
        <w:tabs>
          <w:tab w:val="left" w:pos="1985"/>
        </w:tabs>
        <w:snapToGrid w:val="0"/>
        <w:spacing w:line="360" w:lineRule="auto"/>
        <w:jc w:val="both"/>
        <w:rPr>
          <w:rFonts w:ascii="標楷體" w:eastAsia="標楷體" w:hAnsi="標楷體"/>
          <w:b/>
          <w:sz w:val="28"/>
          <w:szCs w:val="28"/>
        </w:rPr>
      </w:pPr>
      <w:r>
        <w:rPr>
          <w:rFonts w:ascii="標楷體" w:eastAsia="標楷體" w:hAnsi="標楷體"/>
          <w:b/>
          <w:sz w:val="28"/>
          <w:szCs w:val="28"/>
        </w:rPr>
        <w:lastRenderedPageBreak/>
        <w:t xml:space="preserve"> 第伍章     教育及訓練</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工作者對於職業安全衛生教育及預防災變之訓練，有接受之義務。</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本校安全衛生教育訓練事項：</w:t>
      </w:r>
    </w:p>
    <w:p w:rsidR="00B86D4C" w:rsidRDefault="002A6305">
      <w:pPr>
        <w:numPr>
          <w:ilvl w:val="0"/>
          <w:numId w:val="15"/>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對於新僱工作者或在職工作者於變更工作前，應依實際需要排定時數，</w:t>
      </w:r>
      <w:r w:rsidRPr="002A0335">
        <w:rPr>
          <w:rFonts w:ascii="標楷體" w:eastAsia="標楷體" w:hAnsi="標楷體"/>
          <w:sz w:val="28"/>
          <w:szCs w:val="28"/>
          <w:shd w:val="pct15" w:color="auto" w:fill="FFFFFF"/>
        </w:rPr>
        <w:t>接受至少3小時之一般職業安全衛生教育訓練</w:t>
      </w:r>
      <w:r>
        <w:rPr>
          <w:rFonts w:ascii="標楷體" w:eastAsia="標楷體" w:hAnsi="標楷體"/>
          <w:sz w:val="28"/>
          <w:szCs w:val="28"/>
        </w:rPr>
        <w:t>。課程：</w:t>
      </w:r>
    </w:p>
    <w:p w:rsidR="00B86D4C" w:rsidRDefault="002A6305">
      <w:pPr>
        <w:tabs>
          <w:tab w:val="left" w:pos="2268"/>
        </w:tabs>
        <w:snapToGrid w:val="0"/>
        <w:spacing w:line="360" w:lineRule="auto"/>
        <w:ind w:left="2268"/>
        <w:jc w:val="both"/>
        <w:rPr>
          <w:rFonts w:ascii="標楷體" w:eastAsia="標楷體" w:hAnsi="標楷體"/>
          <w:sz w:val="28"/>
          <w:szCs w:val="28"/>
        </w:rPr>
      </w:pPr>
      <w:r>
        <w:rPr>
          <w:rFonts w:ascii="標楷體" w:eastAsia="標楷體" w:hAnsi="標楷體"/>
          <w:sz w:val="28"/>
          <w:szCs w:val="28"/>
        </w:rPr>
        <w:t>(一)作業安全衛生有關法規概要。</w:t>
      </w:r>
    </w:p>
    <w:p w:rsidR="00B86D4C" w:rsidRDefault="002A6305">
      <w:pPr>
        <w:tabs>
          <w:tab w:val="left" w:pos="2268"/>
        </w:tabs>
        <w:snapToGrid w:val="0"/>
        <w:spacing w:line="360" w:lineRule="auto"/>
        <w:ind w:left="2268"/>
        <w:jc w:val="both"/>
        <w:rPr>
          <w:rFonts w:ascii="標楷體" w:eastAsia="標楷體" w:hAnsi="標楷體"/>
          <w:sz w:val="28"/>
          <w:szCs w:val="28"/>
        </w:rPr>
      </w:pPr>
      <w:r>
        <w:rPr>
          <w:rFonts w:ascii="標楷體" w:eastAsia="標楷體" w:hAnsi="標楷體"/>
          <w:sz w:val="28"/>
          <w:szCs w:val="28"/>
        </w:rPr>
        <w:t>(二)勞工安全衛生概念及安全衛生工作守則。</w:t>
      </w:r>
    </w:p>
    <w:p w:rsidR="00B86D4C" w:rsidRDefault="002A6305">
      <w:pPr>
        <w:tabs>
          <w:tab w:val="left" w:pos="2268"/>
        </w:tabs>
        <w:snapToGrid w:val="0"/>
        <w:spacing w:line="360" w:lineRule="auto"/>
        <w:ind w:left="2268"/>
        <w:jc w:val="both"/>
        <w:rPr>
          <w:rFonts w:ascii="標楷體" w:eastAsia="標楷體" w:hAnsi="標楷體"/>
          <w:sz w:val="28"/>
          <w:szCs w:val="28"/>
        </w:rPr>
      </w:pPr>
      <w:r>
        <w:rPr>
          <w:rFonts w:ascii="標楷體" w:eastAsia="標楷體" w:hAnsi="標楷體"/>
          <w:sz w:val="28"/>
          <w:szCs w:val="28"/>
        </w:rPr>
        <w:t>(三)作業前、中、後之自動檢查。</w:t>
      </w:r>
    </w:p>
    <w:p w:rsidR="00B86D4C" w:rsidRDefault="002A6305">
      <w:pPr>
        <w:tabs>
          <w:tab w:val="left" w:pos="2268"/>
        </w:tabs>
        <w:snapToGrid w:val="0"/>
        <w:spacing w:line="360" w:lineRule="auto"/>
        <w:ind w:left="2268"/>
        <w:jc w:val="both"/>
        <w:rPr>
          <w:rFonts w:ascii="標楷體" w:eastAsia="標楷體" w:hAnsi="標楷體"/>
          <w:sz w:val="28"/>
          <w:szCs w:val="28"/>
        </w:rPr>
      </w:pPr>
      <w:r>
        <w:rPr>
          <w:rFonts w:ascii="標楷體" w:eastAsia="標楷體" w:hAnsi="標楷體"/>
          <w:sz w:val="28"/>
          <w:szCs w:val="28"/>
        </w:rPr>
        <w:t>(四)標準作業程序。</w:t>
      </w:r>
    </w:p>
    <w:p w:rsidR="00B86D4C" w:rsidRDefault="002A6305">
      <w:pPr>
        <w:tabs>
          <w:tab w:val="left" w:pos="2268"/>
        </w:tabs>
        <w:snapToGrid w:val="0"/>
        <w:spacing w:line="360" w:lineRule="auto"/>
        <w:ind w:left="2268"/>
        <w:jc w:val="both"/>
        <w:rPr>
          <w:rFonts w:ascii="標楷體" w:eastAsia="標楷體" w:hAnsi="標楷體"/>
          <w:sz w:val="28"/>
          <w:szCs w:val="28"/>
        </w:rPr>
      </w:pPr>
      <w:r>
        <w:rPr>
          <w:rFonts w:ascii="標楷體" w:eastAsia="標楷體" w:hAnsi="標楷體"/>
          <w:sz w:val="28"/>
          <w:szCs w:val="28"/>
        </w:rPr>
        <w:t>(五)緊急事故應變處理。</w:t>
      </w:r>
    </w:p>
    <w:p w:rsidR="00B86D4C" w:rsidRDefault="002A6305">
      <w:pPr>
        <w:tabs>
          <w:tab w:val="left" w:pos="2268"/>
        </w:tabs>
        <w:snapToGrid w:val="0"/>
        <w:spacing w:line="360" w:lineRule="auto"/>
        <w:ind w:left="2268"/>
        <w:jc w:val="both"/>
        <w:rPr>
          <w:rFonts w:ascii="標楷體" w:eastAsia="標楷體" w:hAnsi="標楷體"/>
          <w:sz w:val="28"/>
          <w:szCs w:val="28"/>
        </w:rPr>
      </w:pPr>
      <w:r>
        <w:rPr>
          <w:rFonts w:ascii="標楷體" w:eastAsia="標楷體" w:hAnsi="標楷體"/>
          <w:sz w:val="28"/>
          <w:szCs w:val="28"/>
        </w:rPr>
        <w:t>(六)消防及急救常識暨演練。</w:t>
      </w:r>
    </w:p>
    <w:p w:rsidR="00B86D4C" w:rsidRDefault="002A6305">
      <w:pPr>
        <w:tabs>
          <w:tab w:val="left" w:pos="2268"/>
        </w:tabs>
        <w:snapToGrid w:val="0"/>
        <w:spacing w:line="360" w:lineRule="auto"/>
        <w:ind w:left="2268"/>
        <w:jc w:val="both"/>
        <w:rPr>
          <w:rFonts w:ascii="標楷體" w:eastAsia="標楷體" w:hAnsi="標楷體"/>
          <w:sz w:val="28"/>
          <w:szCs w:val="28"/>
        </w:rPr>
      </w:pPr>
      <w:r>
        <w:rPr>
          <w:rFonts w:ascii="標楷體" w:eastAsia="標楷體" w:hAnsi="標楷體"/>
          <w:sz w:val="28"/>
          <w:szCs w:val="28"/>
        </w:rPr>
        <w:t>(七)其他與作業有關之安全衛生知識。</w:t>
      </w:r>
    </w:p>
    <w:p w:rsidR="00B86D4C" w:rsidRDefault="002A6305">
      <w:pPr>
        <w:numPr>
          <w:ilvl w:val="0"/>
          <w:numId w:val="15"/>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其他職業安全衛生事項之教育訓練。</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依職業安全衛生教育訓練之相關規定，應使工作者接受適當時數之在職教育訓練。</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其他有關職業安全衛生法規定須有證書者始得擔任之工作，應依據職業安全衛生教育訓練規則辦理。</w:t>
      </w:r>
    </w:p>
    <w:p w:rsidR="00B86D4C" w:rsidRPr="002338A8" w:rsidRDefault="002A6305" w:rsidP="002338A8">
      <w:pPr>
        <w:pStyle w:val="ad"/>
        <w:numPr>
          <w:ilvl w:val="0"/>
          <w:numId w:val="3"/>
        </w:numPr>
        <w:snapToGrid w:val="0"/>
        <w:spacing w:line="360" w:lineRule="auto"/>
        <w:ind w:left="1701" w:hanging="1701"/>
        <w:jc w:val="both"/>
      </w:pPr>
      <w:r>
        <w:rPr>
          <w:rFonts w:ascii="標楷體" w:eastAsia="標楷體" w:hAnsi="標楷體"/>
          <w:sz w:val="28"/>
          <w:szCs w:val="28"/>
        </w:rPr>
        <w:t>依法指定具有危險性之機械或設備，未經中央主管機關認可之</w:t>
      </w:r>
      <w:r>
        <w:rPr>
          <w:rFonts w:ascii="標楷體" w:eastAsia="標楷體" w:hAnsi="標楷體" w:cs="新細明體"/>
          <w:kern w:val="0"/>
          <w:sz w:val="28"/>
          <w:szCs w:val="28"/>
        </w:rPr>
        <w:t>訓練</w:t>
      </w:r>
      <w:r>
        <w:rPr>
          <w:rFonts w:ascii="標楷體" w:eastAsia="標楷體" w:hAnsi="標楷體"/>
          <w:sz w:val="28"/>
          <w:szCs w:val="28"/>
        </w:rPr>
        <w:t>或經技能檢定合格之人員，不得充任為操作人員。</w:t>
      </w:r>
    </w:p>
    <w:p w:rsidR="00B86D4C" w:rsidRDefault="002A6305">
      <w:pPr>
        <w:snapToGrid w:val="0"/>
        <w:spacing w:line="360" w:lineRule="auto"/>
        <w:jc w:val="both"/>
        <w:rPr>
          <w:rFonts w:ascii="標楷體" w:eastAsia="標楷體" w:hAnsi="標楷體"/>
          <w:b/>
          <w:sz w:val="28"/>
          <w:szCs w:val="28"/>
        </w:rPr>
      </w:pPr>
      <w:r>
        <w:rPr>
          <w:rFonts w:ascii="標楷體" w:eastAsia="標楷體" w:hAnsi="標楷體"/>
          <w:b/>
          <w:sz w:val="28"/>
          <w:szCs w:val="28"/>
        </w:rPr>
        <w:t>第陸章    健康指導及管理措施</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經指派之職業醫學專科醫師與護理人員（以下簡稱醫護人員）辦理健康保護事項：</w:t>
      </w:r>
    </w:p>
    <w:p w:rsidR="00B86D4C" w:rsidRDefault="002A6305">
      <w:pPr>
        <w:numPr>
          <w:ilvl w:val="0"/>
          <w:numId w:val="16"/>
        </w:numPr>
        <w:tabs>
          <w:tab w:val="left" w:pos="2268"/>
        </w:tabs>
        <w:snapToGrid w:val="0"/>
        <w:spacing w:line="360" w:lineRule="auto"/>
        <w:ind w:left="2268" w:hanging="567"/>
        <w:jc w:val="both"/>
      </w:pPr>
      <w:r>
        <w:rPr>
          <w:rFonts w:ascii="標楷體" w:eastAsia="標楷體" w:hAnsi="標楷體"/>
          <w:b/>
          <w:sz w:val="28"/>
          <w:szCs w:val="28"/>
        </w:rPr>
        <w:t>健康管理：</w:t>
      </w:r>
      <w:r>
        <w:rPr>
          <w:rFonts w:ascii="標楷體" w:eastAsia="標楷體" w:hAnsi="標楷體"/>
          <w:sz w:val="28"/>
          <w:szCs w:val="28"/>
        </w:rPr>
        <w:t>如一般及特殊健康檢查分級管理、職業傷病</w:t>
      </w:r>
      <w:r>
        <w:rPr>
          <w:rFonts w:ascii="標楷體" w:eastAsia="標楷體" w:hAnsi="標楷體"/>
          <w:sz w:val="28"/>
          <w:szCs w:val="28"/>
        </w:rPr>
        <w:lastRenderedPageBreak/>
        <w:t>統計分析與健康風險評估等措施。</w:t>
      </w:r>
    </w:p>
    <w:p w:rsidR="00B86D4C" w:rsidRDefault="002A6305">
      <w:pPr>
        <w:numPr>
          <w:ilvl w:val="0"/>
          <w:numId w:val="16"/>
        </w:numPr>
        <w:tabs>
          <w:tab w:val="left" w:pos="2268"/>
        </w:tabs>
        <w:snapToGrid w:val="0"/>
        <w:spacing w:line="360" w:lineRule="auto"/>
        <w:ind w:left="2268" w:hanging="567"/>
        <w:jc w:val="both"/>
      </w:pPr>
      <w:r>
        <w:rPr>
          <w:rFonts w:ascii="標楷體" w:eastAsia="標楷體" w:hAnsi="標楷體"/>
          <w:b/>
          <w:sz w:val="28"/>
          <w:szCs w:val="28"/>
        </w:rPr>
        <w:t>健康促進：</w:t>
      </w:r>
      <w:r>
        <w:rPr>
          <w:rFonts w:ascii="標楷體" w:eastAsia="標楷體" w:hAnsi="標楷體"/>
          <w:sz w:val="28"/>
          <w:szCs w:val="28"/>
        </w:rPr>
        <w:t>如教職、員工、與學生之健康、衛生教育與指導、工作壓力舒緩及其它身心健康促進方案。</w:t>
      </w:r>
    </w:p>
    <w:p w:rsidR="00B86D4C" w:rsidRDefault="002A6305">
      <w:pPr>
        <w:numPr>
          <w:ilvl w:val="0"/>
          <w:numId w:val="16"/>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協助辦理職業病預防：加強職業安全衛生業務主管走入工作場所，時常到工作現場巡查，發現可能存在的潛在健康危害因子，提供現場職業衛生保健諮詢等各項工作。</w:t>
      </w:r>
    </w:p>
    <w:p w:rsidR="00B86D4C" w:rsidRPr="002A0335" w:rsidRDefault="002A6305">
      <w:pPr>
        <w:pStyle w:val="ad"/>
        <w:numPr>
          <w:ilvl w:val="0"/>
          <w:numId w:val="3"/>
        </w:numPr>
        <w:snapToGrid w:val="0"/>
        <w:spacing w:line="360" w:lineRule="auto"/>
        <w:ind w:left="1701" w:hanging="1701"/>
        <w:jc w:val="both"/>
        <w:rPr>
          <w:rFonts w:ascii="標楷體" w:eastAsia="標楷體" w:hAnsi="標楷體"/>
          <w:sz w:val="28"/>
          <w:szCs w:val="28"/>
          <w:shd w:val="pct15" w:color="auto" w:fill="FFFFFF"/>
        </w:rPr>
      </w:pPr>
      <w:r w:rsidRPr="002A0335">
        <w:rPr>
          <w:rFonts w:ascii="標楷體" w:eastAsia="標楷體" w:hAnsi="標楷體"/>
          <w:sz w:val="28"/>
          <w:szCs w:val="28"/>
          <w:shd w:val="pct15" w:color="auto" w:fill="FFFFFF"/>
        </w:rPr>
        <w:t>新進勞工應確實施行體格檢查，在職勞工並應依規定接受職業安全衛生管理單位所排定之各項健康檢查。</w:t>
      </w:r>
    </w:p>
    <w:p w:rsidR="00B86D4C" w:rsidRPr="002A0335" w:rsidRDefault="002A6305">
      <w:pPr>
        <w:pStyle w:val="ad"/>
        <w:numPr>
          <w:ilvl w:val="0"/>
          <w:numId w:val="3"/>
        </w:numPr>
        <w:snapToGrid w:val="0"/>
        <w:spacing w:line="360" w:lineRule="auto"/>
        <w:ind w:left="1701" w:hanging="1701"/>
        <w:jc w:val="both"/>
        <w:rPr>
          <w:rFonts w:ascii="標楷體" w:eastAsia="標楷體" w:hAnsi="標楷體"/>
          <w:sz w:val="28"/>
          <w:szCs w:val="28"/>
          <w:shd w:val="pct15" w:color="auto" w:fill="FFFFFF"/>
        </w:rPr>
      </w:pPr>
      <w:r w:rsidRPr="002A0335">
        <w:rPr>
          <w:rFonts w:ascii="標楷體" w:eastAsia="標楷體" w:hAnsi="標楷體"/>
          <w:sz w:val="28"/>
          <w:szCs w:val="28"/>
          <w:shd w:val="pct15" w:color="auto" w:fill="FFFFFF"/>
        </w:rPr>
        <w:t>在職勞工應依下列規定接受定期健康檢查：</w:t>
      </w:r>
    </w:p>
    <w:p w:rsidR="00B86D4C" w:rsidRPr="002A0335" w:rsidRDefault="002A6305">
      <w:pPr>
        <w:numPr>
          <w:ilvl w:val="0"/>
          <w:numId w:val="17"/>
        </w:numPr>
        <w:tabs>
          <w:tab w:val="left" w:pos="2268"/>
        </w:tabs>
        <w:snapToGrid w:val="0"/>
        <w:spacing w:line="360" w:lineRule="auto"/>
        <w:ind w:left="2268" w:hanging="567"/>
        <w:jc w:val="both"/>
        <w:rPr>
          <w:rFonts w:ascii="標楷體" w:eastAsia="標楷體" w:hAnsi="標楷體"/>
          <w:sz w:val="28"/>
          <w:szCs w:val="28"/>
          <w:shd w:val="pct15" w:color="auto" w:fill="FFFFFF"/>
        </w:rPr>
      </w:pPr>
      <w:r w:rsidRPr="002A0335">
        <w:rPr>
          <w:rFonts w:ascii="標楷體" w:eastAsia="標楷體" w:hAnsi="標楷體"/>
          <w:sz w:val="28"/>
          <w:szCs w:val="28"/>
          <w:shd w:val="pct15" w:color="auto" w:fill="FFFFFF"/>
        </w:rPr>
        <w:t>年滿65歲以上者，每年定期檢查一次。</w:t>
      </w:r>
    </w:p>
    <w:p w:rsidR="00B86D4C" w:rsidRPr="002A0335" w:rsidRDefault="002A6305">
      <w:pPr>
        <w:numPr>
          <w:ilvl w:val="0"/>
          <w:numId w:val="17"/>
        </w:numPr>
        <w:tabs>
          <w:tab w:val="left" w:pos="2268"/>
        </w:tabs>
        <w:snapToGrid w:val="0"/>
        <w:spacing w:line="360" w:lineRule="auto"/>
        <w:ind w:left="2268" w:hanging="567"/>
        <w:jc w:val="both"/>
        <w:rPr>
          <w:rFonts w:ascii="標楷體" w:eastAsia="標楷體" w:hAnsi="標楷體"/>
          <w:sz w:val="28"/>
          <w:szCs w:val="28"/>
          <w:shd w:val="pct15" w:color="auto" w:fill="FFFFFF"/>
        </w:rPr>
      </w:pPr>
      <w:r w:rsidRPr="002A0335">
        <w:rPr>
          <w:rFonts w:ascii="標楷體" w:eastAsia="標楷體" w:hAnsi="標楷體"/>
          <w:sz w:val="28"/>
          <w:szCs w:val="28"/>
          <w:shd w:val="pct15" w:color="auto" w:fill="FFFFFF"/>
        </w:rPr>
        <w:t>年滿40歲未滿65歲者，每三年定期檢查一次。</w:t>
      </w:r>
    </w:p>
    <w:p w:rsidR="00B86D4C" w:rsidRPr="002A0335" w:rsidRDefault="002A6305">
      <w:pPr>
        <w:numPr>
          <w:ilvl w:val="0"/>
          <w:numId w:val="17"/>
        </w:numPr>
        <w:tabs>
          <w:tab w:val="left" w:pos="2268"/>
        </w:tabs>
        <w:snapToGrid w:val="0"/>
        <w:spacing w:line="360" w:lineRule="auto"/>
        <w:ind w:left="2268" w:hanging="567"/>
        <w:jc w:val="both"/>
        <w:rPr>
          <w:rFonts w:ascii="標楷體" w:eastAsia="標楷體" w:hAnsi="標楷體"/>
          <w:sz w:val="28"/>
          <w:szCs w:val="28"/>
          <w:shd w:val="pct15" w:color="auto" w:fill="FFFFFF"/>
        </w:rPr>
      </w:pPr>
      <w:r w:rsidRPr="002A0335">
        <w:rPr>
          <w:rFonts w:ascii="標楷體" w:eastAsia="標楷體" w:hAnsi="標楷體"/>
          <w:sz w:val="28"/>
          <w:szCs w:val="28"/>
          <w:shd w:val="pct15" w:color="auto" w:fill="FFFFFF"/>
        </w:rPr>
        <w:t>年齡未滿40歲者，每五年定期檢查一次。</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醫護人員臨校服務辦理下列事項：</w:t>
      </w:r>
    </w:p>
    <w:p w:rsidR="00B86D4C" w:rsidRDefault="002A6305">
      <w:pPr>
        <w:numPr>
          <w:ilvl w:val="0"/>
          <w:numId w:val="18"/>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勞工之健康教育、健康促進與衛生指導之策劃及實施。</w:t>
      </w:r>
    </w:p>
    <w:p w:rsidR="00B86D4C" w:rsidRDefault="002A6305">
      <w:pPr>
        <w:numPr>
          <w:ilvl w:val="0"/>
          <w:numId w:val="18"/>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工作相關傷病之防治、健康諮詢與急救及緊急處置。</w:t>
      </w:r>
    </w:p>
    <w:p w:rsidR="00B86D4C" w:rsidRDefault="002A6305">
      <w:pPr>
        <w:numPr>
          <w:ilvl w:val="0"/>
          <w:numId w:val="18"/>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協助校長選配校內工作者從事適當之工作。</w:t>
      </w:r>
    </w:p>
    <w:p w:rsidR="00B86D4C" w:rsidRDefault="002A6305">
      <w:pPr>
        <w:numPr>
          <w:ilvl w:val="0"/>
          <w:numId w:val="18"/>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校內工作者體格、健康檢查紀錄之分析、評估、管理與保存及健康管理。</w:t>
      </w:r>
    </w:p>
    <w:p w:rsidR="00B86D4C" w:rsidRDefault="002A6305">
      <w:pPr>
        <w:numPr>
          <w:ilvl w:val="0"/>
          <w:numId w:val="18"/>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職業衛生之研究報告及傷害、疾病紀錄之保存。</w:t>
      </w:r>
    </w:p>
    <w:p w:rsidR="00B86D4C" w:rsidRDefault="002A6305">
      <w:pPr>
        <w:numPr>
          <w:ilvl w:val="0"/>
          <w:numId w:val="18"/>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協助校長與職業安全衛生人員實施工作相關疾病預防及工作環境之改善。</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醫護人員應配合職業安全衛生及相關部門人員訪視現場，辦理下列事項：</w:t>
      </w:r>
    </w:p>
    <w:p w:rsidR="00B86D4C" w:rsidRDefault="002A6305">
      <w:pPr>
        <w:numPr>
          <w:ilvl w:val="0"/>
          <w:numId w:val="19"/>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辨識與評估工作場所環境及作業之危害。</w:t>
      </w:r>
    </w:p>
    <w:p w:rsidR="00B86D4C" w:rsidRDefault="002A6305">
      <w:pPr>
        <w:numPr>
          <w:ilvl w:val="0"/>
          <w:numId w:val="19"/>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提出作業環境安全衛生設施改善規劃之建議。</w:t>
      </w:r>
    </w:p>
    <w:p w:rsidR="00B86D4C" w:rsidRDefault="002A6305">
      <w:pPr>
        <w:numPr>
          <w:ilvl w:val="0"/>
          <w:numId w:val="19"/>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lastRenderedPageBreak/>
        <w:t>調查校內工作者健康情形與作業之關連性，並對健康高風險勞工進行健康風險評估，採取必要之預防及健康促進措施。</w:t>
      </w:r>
    </w:p>
    <w:p w:rsidR="00B86D4C" w:rsidRDefault="002A6305">
      <w:pPr>
        <w:numPr>
          <w:ilvl w:val="0"/>
          <w:numId w:val="19"/>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提供復工校內工作者之職能評估、職務再設計或調整之諮詢及建議。</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於校內工作者經一般體格檢查、特殊體格檢查、一般健康檢查、特殊健康檢查或健康追蹤檢查後，應採取下列措施：</w:t>
      </w:r>
    </w:p>
    <w:p w:rsidR="00B86D4C" w:rsidRDefault="002A6305">
      <w:pPr>
        <w:numPr>
          <w:ilvl w:val="0"/>
          <w:numId w:val="20"/>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參採醫師建議，告知校內工作者，並適當配置校內工作者於工作場所作業。</w:t>
      </w:r>
    </w:p>
    <w:p w:rsidR="00B86D4C" w:rsidRDefault="002A6305">
      <w:pPr>
        <w:numPr>
          <w:ilvl w:val="0"/>
          <w:numId w:val="20"/>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對檢查結果異常之校內工作者，應由醫護人員提供其健康指導；其經醫師健康評估結果，不能適應原有工作者，應參採醫師之建議，變更其作業場所、更換工作或縮短工作時間，並採取健康管理措施。</w:t>
      </w:r>
    </w:p>
    <w:p w:rsidR="00B86D4C" w:rsidRDefault="002A6305">
      <w:pPr>
        <w:numPr>
          <w:ilvl w:val="0"/>
          <w:numId w:val="20"/>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將檢查結果發給受檢校內工作者。</w:t>
      </w:r>
    </w:p>
    <w:p w:rsidR="00B86D4C" w:rsidRDefault="002A6305">
      <w:pPr>
        <w:numPr>
          <w:ilvl w:val="0"/>
          <w:numId w:val="20"/>
        </w:numPr>
        <w:tabs>
          <w:tab w:val="left" w:pos="2268"/>
        </w:tabs>
        <w:snapToGrid w:val="0"/>
        <w:spacing w:line="360" w:lineRule="auto"/>
        <w:ind w:left="2268" w:hanging="567"/>
        <w:jc w:val="both"/>
        <w:rPr>
          <w:rFonts w:ascii="標楷體" w:eastAsia="標楷體" w:hAnsi="標楷體"/>
          <w:sz w:val="28"/>
          <w:szCs w:val="28"/>
        </w:rPr>
      </w:pPr>
      <w:r>
        <w:rPr>
          <w:rFonts w:ascii="標楷體" w:eastAsia="標楷體" w:hAnsi="標楷體"/>
          <w:sz w:val="28"/>
          <w:szCs w:val="28"/>
        </w:rPr>
        <w:t>將受檢校內工作者之健康檢查紀錄彙整成健康檢查手冊。</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工作者可參加運動性之社團或活動</w:t>
      </w:r>
      <w:r>
        <w:rPr>
          <w:rFonts w:ascii="新細明體" w:hAnsi="新細明體"/>
          <w:sz w:val="28"/>
          <w:szCs w:val="28"/>
        </w:rPr>
        <w:t>、</w:t>
      </w:r>
      <w:r>
        <w:rPr>
          <w:rFonts w:ascii="標楷體" w:eastAsia="標楷體" w:hAnsi="標楷體"/>
          <w:sz w:val="28"/>
          <w:szCs w:val="28"/>
        </w:rPr>
        <w:t>政府機構辦理等活動，以促進健康。</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針對重複性作業、輪班、夜間工作、長時間工作等促發疾病，或執行職務因他人行為遭受不法侵害等，採取預防及保護措施。</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針對重複作業等促發肌肉骨骼疾病等，採取預防及保護措施。</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工作者</w:t>
      </w:r>
      <w:r>
        <w:rPr>
          <w:rFonts w:ascii="標楷體" w:eastAsia="標楷體" w:hAnsi="標楷體" w:cs="新細明體"/>
          <w:kern w:val="0"/>
          <w:sz w:val="28"/>
          <w:szCs w:val="28"/>
        </w:rPr>
        <w:t>倘若</w:t>
      </w:r>
      <w:r>
        <w:rPr>
          <w:rFonts w:ascii="標楷體" w:eastAsia="標楷體" w:hAnsi="標楷體"/>
          <w:sz w:val="28"/>
          <w:szCs w:val="28"/>
        </w:rPr>
        <w:t>覺得身體健康不適或出現異常時，請立即向各級工作場所管理人及本校</w:t>
      </w:r>
      <w:r>
        <w:rPr>
          <w:rFonts w:eastAsia="標楷體"/>
          <w:kern w:val="0"/>
          <w:sz w:val="28"/>
          <w:szCs w:val="28"/>
        </w:rPr>
        <w:t>職業安全衛生管理單位及衛保單位</w:t>
      </w:r>
      <w:r>
        <w:rPr>
          <w:rFonts w:ascii="標楷體" w:eastAsia="標楷體" w:hAnsi="標楷體"/>
          <w:sz w:val="28"/>
          <w:szCs w:val="28"/>
        </w:rPr>
        <w:t>反應。</w:t>
      </w:r>
    </w:p>
    <w:p w:rsidR="00B86D4C" w:rsidRDefault="002A6305">
      <w:pPr>
        <w:snapToGrid w:val="0"/>
        <w:spacing w:line="360" w:lineRule="auto"/>
        <w:ind w:left="1700" w:hanging="1700"/>
      </w:pPr>
      <w:r>
        <w:rPr>
          <w:rFonts w:ascii="標楷體" w:eastAsia="標楷體" w:hAnsi="標楷體"/>
          <w:sz w:val="28"/>
          <w:szCs w:val="28"/>
        </w:rPr>
        <w:t xml:space="preserve"> </w:t>
      </w:r>
      <w:r>
        <w:rPr>
          <w:rFonts w:ascii="標楷體" w:eastAsia="標楷體" w:hAnsi="標楷體"/>
          <w:b/>
          <w:sz w:val="28"/>
          <w:szCs w:val="28"/>
        </w:rPr>
        <w:t>第柒章    急救及搶救</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lastRenderedPageBreak/>
        <w:t>本校各項</w:t>
      </w:r>
      <w:r>
        <w:rPr>
          <w:rFonts w:ascii="標楷體" w:eastAsia="標楷體" w:hAnsi="標楷體" w:cs="新細明體"/>
          <w:kern w:val="0"/>
          <w:sz w:val="28"/>
          <w:szCs w:val="28"/>
        </w:rPr>
        <w:t>急救</w:t>
      </w:r>
      <w:r>
        <w:rPr>
          <w:rFonts w:ascii="標楷體" w:eastAsia="標楷體" w:hAnsi="標楷體"/>
          <w:sz w:val="28"/>
          <w:szCs w:val="28"/>
        </w:rPr>
        <w:t>原則：</w:t>
      </w:r>
    </w:p>
    <w:p w:rsidR="00B86D4C" w:rsidRDefault="002A6305">
      <w:pPr>
        <w:numPr>
          <w:ilvl w:val="0"/>
          <w:numId w:val="21"/>
        </w:numPr>
        <w:tabs>
          <w:tab w:val="left" w:pos="2410"/>
        </w:tabs>
        <w:snapToGrid w:val="0"/>
        <w:spacing w:line="360" w:lineRule="auto"/>
        <w:ind w:left="2410" w:hanging="660"/>
        <w:jc w:val="both"/>
        <w:rPr>
          <w:rFonts w:ascii="標楷體" w:eastAsia="標楷體" w:hAnsi="標楷體"/>
          <w:sz w:val="28"/>
          <w:szCs w:val="28"/>
        </w:rPr>
      </w:pPr>
      <w:r>
        <w:rPr>
          <w:rFonts w:ascii="標楷體" w:eastAsia="標楷體" w:hAnsi="標楷體"/>
          <w:sz w:val="28"/>
          <w:szCs w:val="28"/>
        </w:rPr>
        <w:t>進行急救搶救前應先考量自己之安全，勿貿然進行。</w:t>
      </w:r>
    </w:p>
    <w:p w:rsidR="00B86D4C" w:rsidRDefault="002A6305">
      <w:pPr>
        <w:numPr>
          <w:ilvl w:val="0"/>
          <w:numId w:val="21"/>
        </w:numPr>
        <w:tabs>
          <w:tab w:val="left" w:pos="2410"/>
        </w:tabs>
        <w:snapToGrid w:val="0"/>
        <w:spacing w:line="360" w:lineRule="auto"/>
        <w:ind w:left="2410" w:hanging="660"/>
        <w:jc w:val="both"/>
        <w:rPr>
          <w:rFonts w:ascii="標楷體" w:eastAsia="標楷體" w:hAnsi="標楷體"/>
          <w:sz w:val="28"/>
          <w:szCs w:val="28"/>
        </w:rPr>
      </w:pPr>
      <w:r>
        <w:rPr>
          <w:rFonts w:ascii="標楷體" w:eastAsia="標楷體" w:hAnsi="標楷體"/>
          <w:sz w:val="28"/>
          <w:szCs w:val="28"/>
        </w:rPr>
        <w:t>任何傷害事故(不論輕重)應即向主管報告，不得隱匿不報。</w:t>
      </w:r>
    </w:p>
    <w:p w:rsidR="00B86D4C" w:rsidRDefault="002A6305">
      <w:pPr>
        <w:numPr>
          <w:ilvl w:val="0"/>
          <w:numId w:val="21"/>
        </w:numPr>
        <w:tabs>
          <w:tab w:val="left" w:pos="2410"/>
        </w:tabs>
        <w:snapToGrid w:val="0"/>
        <w:spacing w:line="360" w:lineRule="auto"/>
        <w:ind w:left="2410" w:hanging="660"/>
        <w:jc w:val="both"/>
        <w:rPr>
          <w:rFonts w:ascii="標楷體" w:eastAsia="標楷體" w:hAnsi="標楷體"/>
          <w:sz w:val="28"/>
          <w:szCs w:val="28"/>
        </w:rPr>
      </w:pPr>
      <w:r>
        <w:rPr>
          <w:rFonts w:ascii="標楷體" w:eastAsia="標楷體" w:hAnsi="標楷體"/>
          <w:sz w:val="28"/>
          <w:szCs w:val="28"/>
        </w:rPr>
        <w:t>遇感電災害時，應先設法切斷電源並確認無感電之虞後，再施以急救搶救。</w:t>
      </w:r>
    </w:p>
    <w:p w:rsidR="00B86D4C" w:rsidRDefault="002A6305">
      <w:pPr>
        <w:numPr>
          <w:ilvl w:val="0"/>
          <w:numId w:val="21"/>
        </w:numPr>
        <w:tabs>
          <w:tab w:val="left" w:pos="2410"/>
          <w:tab w:val="left" w:pos="2548"/>
        </w:tabs>
        <w:snapToGrid w:val="0"/>
        <w:spacing w:line="360" w:lineRule="auto"/>
        <w:ind w:left="2410" w:hanging="660"/>
        <w:jc w:val="both"/>
        <w:rPr>
          <w:rFonts w:ascii="標楷體" w:eastAsia="標楷體" w:hAnsi="標楷體"/>
          <w:sz w:val="28"/>
          <w:szCs w:val="28"/>
        </w:rPr>
      </w:pPr>
      <w:r>
        <w:rPr>
          <w:rFonts w:ascii="標楷體" w:eastAsia="標楷體" w:hAnsi="標楷體"/>
          <w:sz w:val="28"/>
          <w:szCs w:val="28"/>
        </w:rPr>
        <w:t>對危害物災害之處置，應考量危害物質之性質及相容性，運用適當之方法進行急救及搶救。</w:t>
      </w:r>
    </w:p>
    <w:p w:rsidR="00B86D4C" w:rsidRDefault="002A6305">
      <w:pPr>
        <w:numPr>
          <w:ilvl w:val="0"/>
          <w:numId w:val="21"/>
        </w:numPr>
        <w:tabs>
          <w:tab w:val="left" w:pos="2410"/>
        </w:tabs>
        <w:snapToGrid w:val="0"/>
        <w:spacing w:line="360" w:lineRule="auto"/>
        <w:ind w:left="2410" w:hanging="660"/>
        <w:jc w:val="both"/>
        <w:rPr>
          <w:rFonts w:ascii="標楷體" w:eastAsia="標楷體" w:hAnsi="標楷體"/>
          <w:sz w:val="28"/>
          <w:szCs w:val="28"/>
        </w:rPr>
      </w:pPr>
      <w:r>
        <w:rPr>
          <w:rFonts w:ascii="標楷體" w:eastAsia="標楷體" w:hAnsi="標楷體"/>
          <w:sz w:val="28"/>
          <w:szCs w:val="28"/>
        </w:rPr>
        <w:t>任何急救之處理僅在維持傷者之生命或避免傷害擴大，對於重大傷患應緊急送往醫療院所進一步處理。</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有關</w:t>
      </w:r>
      <w:r>
        <w:rPr>
          <w:rFonts w:ascii="標楷體" w:eastAsia="標楷體" w:hAnsi="標楷體" w:cs="新細明體"/>
          <w:kern w:val="0"/>
          <w:sz w:val="28"/>
          <w:szCs w:val="28"/>
        </w:rPr>
        <w:t>急救</w:t>
      </w:r>
      <w:r>
        <w:rPr>
          <w:rFonts w:ascii="標楷體" w:eastAsia="標楷體" w:hAnsi="標楷體"/>
          <w:sz w:val="28"/>
          <w:szCs w:val="28"/>
        </w:rPr>
        <w:t>應注意事項如下：</w:t>
      </w:r>
    </w:p>
    <w:p w:rsidR="00B86D4C" w:rsidRDefault="002A6305">
      <w:pPr>
        <w:numPr>
          <w:ilvl w:val="0"/>
          <w:numId w:val="22"/>
        </w:numPr>
        <w:tabs>
          <w:tab w:val="left" w:pos="1736"/>
        </w:tabs>
        <w:snapToGrid w:val="0"/>
        <w:spacing w:line="360" w:lineRule="auto"/>
        <w:ind w:left="1834" w:hanging="133"/>
        <w:jc w:val="both"/>
        <w:rPr>
          <w:rFonts w:ascii="標楷體" w:eastAsia="標楷體" w:hAnsi="標楷體"/>
          <w:sz w:val="28"/>
          <w:szCs w:val="28"/>
        </w:rPr>
      </w:pPr>
      <w:r>
        <w:rPr>
          <w:rFonts w:ascii="標楷體" w:eastAsia="標楷體" w:hAnsi="標楷體"/>
          <w:sz w:val="28"/>
          <w:szCs w:val="28"/>
        </w:rPr>
        <w:t>一般性急救</w:t>
      </w:r>
    </w:p>
    <w:p w:rsidR="00B86D4C" w:rsidRDefault="002A6305">
      <w:pPr>
        <w:numPr>
          <w:ilvl w:val="0"/>
          <w:numId w:val="23"/>
        </w:numPr>
        <w:snapToGrid w:val="0"/>
        <w:spacing w:line="360" w:lineRule="auto"/>
        <w:ind w:hanging="706"/>
        <w:jc w:val="both"/>
        <w:rPr>
          <w:rFonts w:ascii="標楷體" w:eastAsia="標楷體" w:hAnsi="標楷體"/>
          <w:sz w:val="28"/>
          <w:szCs w:val="28"/>
        </w:rPr>
      </w:pPr>
      <w:r>
        <w:rPr>
          <w:rFonts w:ascii="標楷體" w:eastAsia="標楷體" w:hAnsi="標楷體"/>
          <w:sz w:val="28"/>
          <w:szCs w:val="28"/>
        </w:rPr>
        <w:t>在醫護人員抵達前，可由受過急救訓練之校內工作者立刻對傷患作適當處理，避免導致更嚴重的後果。</w:t>
      </w:r>
    </w:p>
    <w:p w:rsidR="00B86D4C" w:rsidRDefault="002A6305">
      <w:pPr>
        <w:numPr>
          <w:ilvl w:val="0"/>
          <w:numId w:val="23"/>
        </w:numPr>
        <w:snapToGrid w:val="0"/>
        <w:spacing w:line="360" w:lineRule="auto"/>
        <w:ind w:hanging="706"/>
        <w:jc w:val="both"/>
        <w:rPr>
          <w:rFonts w:ascii="標楷體" w:eastAsia="標楷體" w:hAnsi="標楷體"/>
          <w:sz w:val="28"/>
          <w:szCs w:val="28"/>
        </w:rPr>
      </w:pPr>
      <w:r>
        <w:rPr>
          <w:rFonts w:ascii="標楷體" w:eastAsia="標楷體" w:hAnsi="標楷體"/>
          <w:sz w:val="28"/>
          <w:szCs w:val="28"/>
        </w:rPr>
        <w:t>在沒有確定受傷之實情前，應將傷患平臥，可防止昏厥與休克。</w:t>
      </w:r>
    </w:p>
    <w:p w:rsidR="00B86D4C" w:rsidRDefault="002A6305">
      <w:pPr>
        <w:numPr>
          <w:ilvl w:val="0"/>
          <w:numId w:val="23"/>
        </w:numPr>
        <w:snapToGrid w:val="0"/>
        <w:spacing w:line="360" w:lineRule="auto"/>
        <w:ind w:hanging="706"/>
        <w:jc w:val="both"/>
        <w:rPr>
          <w:rFonts w:ascii="標楷體" w:eastAsia="標楷體" w:hAnsi="標楷體"/>
          <w:sz w:val="28"/>
          <w:szCs w:val="28"/>
        </w:rPr>
      </w:pPr>
      <w:r>
        <w:rPr>
          <w:rFonts w:ascii="標楷體" w:eastAsia="標楷體" w:hAnsi="標楷體"/>
          <w:sz w:val="28"/>
          <w:szCs w:val="28"/>
        </w:rPr>
        <w:t>休克處置時，可用棉被、衣物等保持傷患之體溫。</w:t>
      </w:r>
    </w:p>
    <w:p w:rsidR="00B86D4C" w:rsidRDefault="002A6305">
      <w:pPr>
        <w:numPr>
          <w:ilvl w:val="0"/>
          <w:numId w:val="23"/>
        </w:numPr>
        <w:snapToGrid w:val="0"/>
        <w:spacing w:line="360" w:lineRule="auto"/>
        <w:ind w:hanging="706"/>
        <w:jc w:val="both"/>
        <w:rPr>
          <w:rFonts w:ascii="標楷體" w:eastAsia="標楷體" w:hAnsi="標楷體"/>
          <w:sz w:val="28"/>
          <w:szCs w:val="28"/>
        </w:rPr>
      </w:pPr>
      <w:r>
        <w:rPr>
          <w:rFonts w:ascii="標楷體" w:eastAsia="標楷體" w:hAnsi="標楷體"/>
          <w:sz w:val="28"/>
          <w:szCs w:val="28"/>
        </w:rPr>
        <w:t>速召救護車或運送傷患至醫療處所或速請醫護人員。</w:t>
      </w:r>
    </w:p>
    <w:p w:rsidR="00B86D4C" w:rsidRDefault="002A6305">
      <w:pPr>
        <w:numPr>
          <w:ilvl w:val="0"/>
          <w:numId w:val="23"/>
        </w:numPr>
        <w:snapToGrid w:val="0"/>
        <w:spacing w:line="360" w:lineRule="auto"/>
        <w:ind w:hanging="706"/>
        <w:jc w:val="both"/>
        <w:rPr>
          <w:rFonts w:ascii="標楷體" w:eastAsia="標楷體" w:hAnsi="標楷體"/>
          <w:sz w:val="28"/>
          <w:szCs w:val="28"/>
        </w:rPr>
      </w:pPr>
      <w:r>
        <w:rPr>
          <w:rFonts w:ascii="標楷體" w:eastAsia="標楷體" w:hAnsi="標楷體"/>
          <w:sz w:val="28"/>
          <w:szCs w:val="28"/>
        </w:rPr>
        <w:t>急救者的責任在於救命、防止傷勢或病情轉惡、保持傷患安靜及舒適，以靜候醫護人員到來。</w:t>
      </w:r>
    </w:p>
    <w:p w:rsidR="00B86D4C" w:rsidRDefault="002A6305">
      <w:pPr>
        <w:numPr>
          <w:ilvl w:val="0"/>
          <w:numId w:val="23"/>
        </w:numPr>
        <w:snapToGrid w:val="0"/>
        <w:spacing w:line="360" w:lineRule="auto"/>
        <w:ind w:hanging="706"/>
        <w:jc w:val="both"/>
        <w:rPr>
          <w:rFonts w:ascii="標楷體" w:eastAsia="標楷體" w:hAnsi="標楷體"/>
          <w:sz w:val="28"/>
          <w:szCs w:val="28"/>
        </w:rPr>
      </w:pPr>
      <w:r>
        <w:rPr>
          <w:rFonts w:ascii="標楷體" w:eastAsia="標楷體" w:hAnsi="標楷體"/>
          <w:sz w:val="28"/>
          <w:szCs w:val="28"/>
        </w:rPr>
        <w:t>在場急救者，應協助傷患述說病情原因等，以幫助醫護人員治療及診斷。</w:t>
      </w:r>
    </w:p>
    <w:p w:rsidR="00B86D4C" w:rsidRDefault="002A6305">
      <w:pPr>
        <w:numPr>
          <w:ilvl w:val="0"/>
          <w:numId w:val="22"/>
        </w:numPr>
        <w:tabs>
          <w:tab w:val="left" w:pos="1985"/>
        </w:tabs>
        <w:snapToGrid w:val="0"/>
        <w:spacing w:line="360" w:lineRule="auto"/>
        <w:ind w:left="2016" w:hanging="364"/>
        <w:jc w:val="both"/>
        <w:rPr>
          <w:rFonts w:ascii="標楷體" w:eastAsia="標楷體" w:hAnsi="標楷體"/>
          <w:sz w:val="28"/>
          <w:szCs w:val="28"/>
        </w:rPr>
      </w:pPr>
      <w:r>
        <w:rPr>
          <w:rFonts w:ascii="標楷體" w:eastAsia="標楷體" w:hAnsi="標楷體"/>
          <w:sz w:val="28"/>
          <w:szCs w:val="28"/>
        </w:rPr>
        <w:t>外傷急救</w:t>
      </w:r>
    </w:p>
    <w:p w:rsidR="00B86D4C" w:rsidRDefault="002A6305">
      <w:pPr>
        <w:numPr>
          <w:ilvl w:val="0"/>
          <w:numId w:val="24"/>
        </w:numPr>
        <w:snapToGrid w:val="0"/>
        <w:spacing w:line="360" w:lineRule="auto"/>
        <w:ind w:hanging="748"/>
        <w:jc w:val="both"/>
        <w:rPr>
          <w:rFonts w:ascii="標楷體" w:eastAsia="標楷體" w:hAnsi="標楷體"/>
          <w:sz w:val="28"/>
          <w:szCs w:val="28"/>
        </w:rPr>
      </w:pPr>
      <w:r>
        <w:rPr>
          <w:rFonts w:ascii="標楷體" w:eastAsia="標楷體" w:hAnsi="標楷體"/>
          <w:sz w:val="28"/>
          <w:szCs w:val="28"/>
        </w:rPr>
        <w:t>外部創傷之種類分為破開傷、擦傷、切傷、撕裂傷等，就醫前應注意止血及防止細菌進入傷口。</w:t>
      </w:r>
    </w:p>
    <w:p w:rsidR="00B86D4C" w:rsidRDefault="002A6305">
      <w:pPr>
        <w:numPr>
          <w:ilvl w:val="0"/>
          <w:numId w:val="24"/>
        </w:numPr>
        <w:snapToGrid w:val="0"/>
        <w:spacing w:line="360" w:lineRule="auto"/>
        <w:ind w:hanging="748"/>
        <w:jc w:val="both"/>
        <w:rPr>
          <w:rFonts w:ascii="標楷體" w:eastAsia="標楷體" w:hAnsi="標楷體"/>
          <w:sz w:val="28"/>
          <w:szCs w:val="28"/>
        </w:rPr>
      </w:pPr>
      <w:r>
        <w:rPr>
          <w:rFonts w:ascii="標楷體" w:eastAsia="標楷體" w:hAnsi="標楷體"/>
          <w:sz w:val="28"/>
          <w:szCs w:val="28"/>
        </w:rPr>
        <w:lastRenderedPageBreak/>
        <w:t>外傷的急救是以消毒之紗布敷蓋於傷口處，急救人員應有消毒觀念，手指不能直接接觸傷口，清洗消毒應由醫護人員行之。</w:t>
      </w:r>
    </w:p>
    <w:p w:rsidR="00B86D4C" w:rsidRDefault="002A6305">
      <w:pPr>
        <w:numPr>
          <w:ilvl w:val="0"/>
          <w:numId w:val="24"/>
        </w:numPr>
        <w:snapToGrid w:val="0"/>
        <w:spacing w:line="360" w:lineRule="auto"/>
        <w:ind w:hanging="748"/>
        <w:jc w:val="both"/>
        <w:rPr>
          <w:rFonts w:ascii="標楷體" w:eastAsia="標楷體" w:hAnsi="標楷體"/>
          <w:sz w:val="28"/>
          <w:szCs w:val="28"/>
        </w:rPr>
      </w:pPr>
      <w:r>
        <w:rPr>
          <w:rFonts w:ascii="標楷體" w:eastAsia="標楷體" w:hAnsi="標楷體"/>
          <w:sz w:val="28"/>
          <w:szCs w:val="28"/>
        </w:rPr>
        <w:t>止血時應先查看血色，如為鮮紅色澤表示主動脈血，應在心臟及傷口間用帶束緊，暗紅色為靜脈血，應在傷口及身體外緣之間束緊。</w:t>
      </w:r>
    </w:p>
    <w:p w:rsidR="00B86D4C" w:rsidRDefault="002A6305">
      <w:pPr>
        <w:numPr>
          <w:ilvl w:val="0"/>
          <w:numId w:val="22"/>
        </w:numPr>
        <w:tabs>
          <w:tab w:val="left" w:pos="133"/>
        </w:tabs>
        <w:snapToGrid w:val="0"/>
        <w:spacing w:line="360" w:lineRule="auto"/>
        <w:ind w:hanging="186"/>
        <w:jc w:val="both"/>
        <w:rPr>
          <w:rFonts w:ascii="標楷體" w:eastAsia="標楷體" w:hAnsi="標楷體"/>
          <w:sz w:val="28"/>
          <w:szCs w:val="28"/>
        </w:rPr>
      </w:pPr>
      <w:r>
        <w:rPr>
          <w:rFonts w:ascii="標楷體" w:eastAsia="標楷體" w:hAnsi="標楷體"/>
          <w:sz w:val="28"/>
          <w:szCs w:val="28"/>
        </w:rPr>
        <w:t>觸電急救</w:t>
      </w:r>
    </w:p>
    <w:p w:rsidR="00B86D4C" w:rsidRDefault="002A6305">
      <w:pPr>
        <w:numPr>
          <w:ilvl w:val="0"/>
          <w:numId w:val="25"/>
        </w:numPr>
        <w:snapToGrid w:val="0"/>
        <w:spacing w:line="360" w:lineRule="auto"/>
        <w:ind w:hanging="748"/>
        <w:jc w:val="both"/>
        <w:rPr>
          <w:rFonts w:ascii="標楷體" w:eastAsia="標楷體" w:hAnsi="標楷體"/>
          <w:sz w:val="28"/>
          <w:szCs w:val="28"/>
        </w:rPr>
      </w:pPr>
      <w:r>
        <w:rPr>
          <w:rFonts w:ascii="標楷體" w:eastAsia="標楷體" w:hAnsi="標楷體"/>
          <w:sz w:val="28"/>
          <w:szCs w:val="28"/>
        </w:rPr>
        <w:t>觸電時應關閉電源或以非導電物體移開電源。</w:t>
      </w:r>
    </w:p>
    <w:p w:rsidR="00B86D4C" w:rsidRDefault="002A6305">
      <w:pPr>
        <w:numPr>
          <w:ilvl w:val="0"/>
          <w:numId w:val="25"/>
        </w:numPr>
        <w:snapToGrid w:val="0"/>
        <w:spacing w:line="360" w:lineRule="auto"/>
        <w:ind w:hanging="748"/>
        <w:jc w:val="both"/>
        <w:rPr>
          <w:rFonts w:ascii="標楷體" w:eastAsia="標楷體" w:hAnsi="標楷體"/>
          <w:sz w:val="28"/>
          <w:szCs w:val="28"/>
        </w:rPr>
      </w:pPr>
      <w:r>
        <w:rPr>
          <w:rFonts w:ascii="標楷體" w:eastAsia="標楷體" w:hAnsi="標楷體"/>
          <w:sz w:val="28"/>
          <w:szCs w:val="28"/>
        </w:rPr>
        <w:t>將患者移至通風良好的地方，解開上衣仰臥，將頭抬起必要時實施人工呼吸直至救護人員到來。</w:t>
      </w:r>
    </w:p>
    <w:p w:rsidR="00B86D4C" w:rsidRDefault="002A6305">
      <w:pPr>
        <w:numPr>
          <w:ilvl w:val="0"/>
          <w:numId w:val="22"/>
        </w:numPr>
        <w:tabs>
          <w:tab w:val="left" w:pos="133"/>
        </w:tabs>
        <w:snapToGrid w:val="0"/>
        <w:spacing w:line="360" w:lineRule="auto"/>
        <w:ind w:hanging="172"/>
        <w:jc w:val="both"/>
        <w:rPr>
          <w:rFonts w:ascii="標楷體" w:eastAsia="標楷體" w:hAnsi="標楷體"/>
          <w:sz w:val="28"/>
          <w:szCs w:val="28"/>
        </w:rPr>
      </w:pPr>
      <w:r>
        <w:rPr>
          <w:rFonts w:ascii="標楷體" w:eastAsia="標楷體" w:hAnsi="標楷體"/>
          <w:sz w:val="28"/>
          <w:szCs w:val="28"/>
        </w:rPr>
        <w:t>異物掉入眼內之急救</w:t>
      </w:r>
    </w:p>
    <w:p w:rsidR="00B86D4C" w:rsidRDefault="002A6305">
      <w:pPr>
        <w:numPr>
          <w:ilvl w:val="0"/>
          <w:numId w:val="26"/>
        </w:numPr>
        <w:snapToGrid w:val="0"/>
        <w:spacing w:line="360" w:lineRule="auto"/>
        <w:ind w:hanging="720"/>
        <w:jc w:val="both"/>
        <w:rPr>
          <w:rFonts w:ascii="標楷體" w:eastAsia="標楷體" w:hAnsi="標楷體"/>
          <w:sz w:val="28"/>
          <w:szCs w:val="28"/>
        </w:rPr>
      </w:pPr>
      <w:r>
        <w:rPr>
          <w:rFonts w:ascii="標楷體" w:eastAsia="標楷體" w:hAnsi="標楷體"/>
          <w:sz w:val="28"/>
          <w:szCs w:val="28"/>
        </w:rPr>
        <w:t>即將眼瞼翻開用清水輕輕沖洗(配戴隱形眼鏡者需先行取出) 。</w:t>
      </w:r>
    </w:p>
    <w:p w:rsidR="00B86D4C" w:rsidRDefault="002A6305">
      <w:pPr>
        <w:numPr>
          <w:ilvl w:val="0"/>
          <w:numId w:val="26"/>
        </w:numPr>
        <w:snapToGrid w:val="0"/>
        <w:spacing w:line="360" w:lineRule="auto"/>
        <w:ind w:hanging="720"/>
        <w:jc w:val="both"/>
        <w:rPr>
          <w:rFonts w:ascii="標楷體" w:eastAsia="標楷體" w:hAnsi="標楷體"/>
          <w:sz w:val="28"/>
          <w:szCs w:val="28"/>
        </w:rPr>
      </w:pPr>
      <w:r>
        <w:rPr>
          <w:rFonts w:ascii="標楷體" w:eastAsia="標楷體" w:hAnsi="標楷體"/>
          <w:sz w:val="28"/>
          <w:szCs w:val="28"/>
        </w:rPr>
        <w:t>沖洗至少15分鐘，速將患者送醫診治。</w:t>
      </w:r>
    </w:p>
    <w:p w:rsidR="00B86D4C" w:rsidRDefault="002A6305">
      <w:pPr>
        <w:snapToGrid w:val="0"/>
        <w:spacing w:line="360" w:lineRule="auto"/>
        <w:jc w:val="both"/>
      </w:pPr>
      <w:r>
        <w:rPr>
          <w:rFonts w:eastAsia="標楷體"/>
          <w:b/>
          <w:sz w:val="28"/>
          <w:szCs w:val="28"/>
        </w:rPr>
        <w:t>第捌章</w:t>
      </w:r>
      <w:r>
        <w:rPr>
          <w:rFonts w:eastAsia="標楷體"/>
          <w:b/>
          <w:sz w:val="28"/>
          <w:szCs w:val="28"/>
        </w:rPr>
        <w:t xml:space="preserve">   </w:t>
      </w:r>
      <w:r>
        <w:rPr>
          <w:rFonts w:eastAsia="標楷體"/>
          <w:b/>
          <w:sz w:val="28"/>
          <w:szCs w:val="28"/>
        </w:rPr>
        <w:t>防護設備之準備、維持及使用</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職業安全衛生管理單位與各級工作場所管理人，平時應監督所轄工作者確實依下列規定辦理：</w:t>
      </w:r>
    </w:p>
    <w:p w:rsidR="00B86D4C" w:rsidRDefault="002A6305">
      <w:pPr>
        <w:numPr>
          <w:ilvl w:val="0"/>
          <w:numId w:val="27"/>
        </w:numPr>
        <w:snapToGrid w:val="0"/>
        <w:spacing w:line="360" w:lineRule="auto"/>
        <w:ind w:left="2338" w:hanging="576"/>
        <w:jc w:val="both"/>
        <w:rPr>
          <w:rFonts w:ascii="標楷體" w:eastAsia="標楷體" w:hAnsi="標楷體"/>
          <w:sz w:val="28"/>
          <w:szCs w:val="28"/>
        </w:rPr>
      </w:pPr>
      <w:r>
        <w:rPr>
          <w:rFonts w:ascii="標楷體" w:eastAsia="標楷體" w:hAnsi="標楷體"/>
          <w:sz w:val="28"/>
          <w:szCs w:val="28"/>
        </w:rPr>
        <w:t>工作場所、機械、設備等設置之防護設施，應經常檢查並保持其性能。</w:t>
      </w:r>
    </w:p>
    <w:p w:rsidR="00B86D4C" w:rsidRDefault="002A6305">
      <w:pPr>
        <w:numPr>
          <w:ilvl w:val="0"/>
          <w:numId w:val="27"/>
        </w:numPr>
        <w:snapToGrid w:val="0"/>
        <w:spacing w:line="360" w:lineRule="auto"/>
        <w:ind w:left="2338" w:hanging="576"/>
        <w:jc w:val="both"/>
        <w:rPr>
          <w:rFonts w:ascii="標楷體" w:eastAsia="標楷體" w:hAnsi="標楷體"/>
          <w:sz w:val="28"/>
          <w:szCs w:val="28"/>
        </w:rPr>
      </w:pPr>
      <w:r>
        <w:rPr>
          <w:rFonts w:ascii="標楷體" w:eastAsia="標楷體" w:hAnsi="標楷體"/>
          <w:sz w:val="28"/>
          <w:szCs w:val="28"/>
        </w:rPr>
        <w:t>個人防護器具，使用後應妥為清理、維護，並做妥善之保管。</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工作者</w:t>
      </w:r>
      <w:r>
        <w:rPr>
          <w:rFonts w:ascii="標楷體" w:eastAsia="標楷體" w:hAnsi="標楷體" w:cs="新細明體"/>
          <w:kern w:val="0"/>
          <w:sz w:val="28"/>
          <w:szCs w:val="28"/>
        </w:rPr>
        <w:t>從事</w:t>
      </w:r>
      <w:r>
        <w:rPr>
          <w:rFonts w:ascii="標楷體" w:eastAsia="標楷體" w:hAnsi="標楷體"/>
          <w:sz w:val="28"/>
          <w:szCs w:val="28"/>
        </w:rPr>
        <w:t>下列作業時，應佩戴防護器具：</w:t>
      </w:r>
    </w:p>
    <w:p w:rsidR="00B86D4C" w:rsidRDefault="002A6305">
      <w:pPr>
        <w:numPr>
          <w:ilvl w:val="0"/>
          <w:numId w:val="28"/>
        </w:numPr>
        <w:snapToGrid w:val="0"/>
        <w:spacing w:line="360" w:lineRule="auto"/>
        <w:ind w:left="2324" w:hanging="576"/>
        <w:jc w:val="both"/>
        <w:rPr>
          <w:rFonts w:ascii="標楷體" w:eastAsia="標楷體" w:hAnsi="標楷體"/>
          <w:sz w:val="28"/>
          <w:szCs w:val="28"/>
        </w:rPr>
      </w:pPr>
      <w:r>
        <w:rPr>
          <w:rFonts w:ascii="標楷體" w:eastAsia="標楷體" w:hAnsi="標楷體"/>
          <w:sz w:val="28"/>
          <w:szCs w:val="28"/>
        </w:rPr>
        <w:t>對於搬運、置放、使用有刺角物、凸出物、腐蝕性物質、毒性物質或劇毒物質時，應使用適當之手套、圍裙、裹腿、安全鞋、安全帽、防護眼鏡、防毒口罩、安全面罩</w:t>
      </w:r>
      <w:r>
        <w:rPr>
          <w:rFonts w:ascii="標楷體" w:eastAsia="標楷體" w:hAnsi="標楷體"/>
          <w:sz w:val="28"/>
          <w:szCs w:val="28"/>
        </w:rPr>
        <w:lastRenderedPageBreak/>
        <w:t>等防護器具。</w:t>
      </w:r>
    </w:p>
    <w:p w:rsidR="00B86D4C" w:rsidRDefault="002A6305">
      <w:pPr>
        <w:numPr>
          <w:ilvl w:val="0"/>
          <w:numId w:val="28"/>
        </w:numPr>
        <w:snapToGrid w:val="0"/>
        <w:spacing w:line="360" w:lineRule="auto"/>
        <w:ind w:left="2324" w:hanging="576"/>
        <w:jc w:val="both"/>
        <w:rPr>
          <w:rFonts w:ascii="標楷體" w:eastAsia="標楷體" w:hAnsi="標楷體"/>
          <w:sz w:val="28"/>
          <w:szCs w:val="28"/>
        </w:rPr>
      </w:pPr>
      <w:r>
        <w:rPr>
          <w:rFonts w:ascii="標楷體" w:eastAsia="標楷體" w:hAnsi="標楷體"/>
          <w:sz w:val="28"/>
          <w:szCs w:val="28"/>
        </w:rPr>
        <w:t>操作或接近運轉中之原動機、動力傳動裝置、動力滾捲裝置，或動力運轉之機械，工作者之頭髮或衣服有被捲入危險之虞時，應確實著用適當之衣帽。</w:t>
      </w:r>
    </w:p>
    <w:p w:rsidR="00B86D4C" w:rsidRDefault="002A6305">
      <w:pPr>
        <w:numPr>
          <w:ilvl w:val="0"/>
          <w:numId w:val="28"/>
        </w:numPr>
        <w:tabs>
          <w:tab w:val="left" w:pos="2324"/>
        </w:tabs>
        <w:snapToGrid w:val="0"/>
        <w:spacing w:line="360" w:lineRule="auto"/>
        <w:ind w:left="2366" w:hanging="576"/>
        <w:jc w:val="both"/>
        <w:rPr>
          <w:rFonts w:ascii="標楷體" w:eastAsia="標楷體" w:hAnsi="標楷體"/>
          <w:sz w:val="28"/>
          <w:szCs w:val="28"/>
        </w:rPr>
      </w:pPr>
      <w:r>
        <w:rPr>
          <w:rFonts w:ascii="標楷體" w:eastAsia="標楷體" w:hAnsi="標楷體"/>
          <w:sz w:val="28"/>
          <w:szCs w:val="28"/>
        </w:rPr>
        <w:t>作業中有物體飛落或飛散之虞時，應使用適當之安全帽、安全護鏡及其他防護。</w:t>
      </w:r>
    </w:p>
    <w:p w:rsidR="00B86D4C" w:rsidRDefault="002A6305">
      <w:pPr>
        <w:numPr>
          <w:ilvl w:val="0"/>
          <w:numId w:val="28"/>
        </w:numPr>
        <w:tabs>
          <w:tab w:val="left" w:pos="2324"/>
        </w:tabs>
        <w:snapToGrid w:val="0"/>
        <w:spacing w:line="360" w:lineRule="auto"/>
        <w:ind w:left="2366" w:hanging="576"/>
        <w:jc w:val="both"/>
        <w:rPr>
          <w:rFonts w:ascii="標楷體" w:eastAsia="標楷體" w:hAnsi="標楷體"/>
          <w:sz w:val="28"/>
          <w:szCs w:val="28"/>
        </w:rPr>
      </w:pPr>
      <w:r>
        <w:rPr>
          <w:rFonts w:ascii="標楷體" w:eastAsia="標楷體" w:hAnsi="標楷體"/>
          <w:sz w:val="28"/>
          <w:szCs w:val="28"/>
        </w:rPr>
        <w:t>在高度2公尺以上之高處作業，有墜落之虞者，應確實使用安全帶、安全帽及其他必要之防護具。</w:t>
      </w:r>
    </w:p>
    <w:p w:rsidR="00B86D4C" w:rsidRDefault="002A6305">
      <w:pPr>
        <w:numPr>
          <w:ilvl w:val="0"/>
          <w:numId w:val="28"/>
        </w:numPr>
        <w:tabs>
          <w:tab w:val="left" w:pos="2324"/>
        </w:tabs>
        <w:snapToGrid w:val="0"/>
        <w:spacing w:line="360" w:lineRule="auto"/>
        <w:ind w:left="2366" w:hanging="576"/>
        <w:jc w:val="both"/>
        <w:rPr>
          <w:rFonts w:ascii="標楷體" w:eastAsia="標楷體" w:hAnsi="標楷體"/>
          <w:sz w:val="28"/>
          <w:szCs w:val="28"/>
        </w:rPr>
      </w:pPr>
      <w:r>
        <w:rPr>
          <w:rFonts w:ascii="標楷體" w:eastAsia="標楷體" w:hAnsi="標楷體"/>
          <w:sz w:val="28"/>
          <w:szCs w:val="28"/>
        </w:rPr>
        <w:t>於強烈噪音之工作場所，應確實戴用耳塞、耳罩等防護具。</w:t>
      </w:r>
    </w:p>
    <w:p w:rsidR="00B86D4C" w:rsidRDefault="002A6305">
      <w:pPr>
        <w:numPr>
          <w:ilvl w:val="0"/>
          <w:numId w:val="28"/>
        </w:numPr>
        <w:tabs>
          <w:tab w:val="left" w:pos="2324"/>
        </w:tabs>
        <w:snapToGrid w:val="0"/>
        <w:spacing w:line="360" w:lineRule="auto"/>
        <w:ind w:left="2366" w:hanging="576"/>
        <w:jc w:val="both"/>
        <w:rPr>
          <w:rFonts w:ascii="標楷體" w:eastAsia="標楷體" w:hAnsi="標楷體"/>
          <w:sz w:val="28"/>
          <w:szCs w:val="28"/>
        </w:rPr>
      </w:pPr>
      <w:r>
        <w:rPr>
          <w:rFonts w:ascii="標楷體" w:eastAsia="標楷體" w:hAnsi="標楷體"/>
          <w:sz w:val="28"/>
          <w:szCs w:val="28"/>
        </w:rPr>
        <w:t>從事電氣工作之工作者，應使用電工安全帽、絕緣防護具及其他必要之防護器具。</w:t>
      </w:r>
    </w:p>
    <w:p w:rsidR="00B86D4C" w:rsidRPr="002338A8" w:rsidRDefault="002A6305" w:rsidP="002338A8">
      <w:pPr>
        <w:pStyle w:val="ad"/>
        <w:numPr>
          <w:ilvl w:val="0"/>
          <w:numId w:val="3"/>
        </w:numPr>
        <w:snapToGrid w:val="0"/>
        <w:spacing w:line="360" w:lineRule="auto"/>
        <w:ind w:left="1701" w:hanging="1701"/>
        <w:jc w:val="both"/>
      </w:pPr>
      <w:r>
        <w:rPr>
          <w:rFonts w:ascii="標楷體" w:eastAsia="標楷體" w:hAnsi="標楷體"/>
          <w:sz w:val="28"/>
          <w:szCs w:val="28"/>
        </w:rPr>
        <w:t>職業安全</w:t>
      </w:r>
      <w:r>
        <w:rPr>
          <w:rFonts w:ascii="標楷體" w:eastAsia="標楷體" w:hAnsi="標楷體" w:cs="新細明體"/>
          <w:kern w:val="0"/>
          <w:sz w:val="28"/>
          <w:szCs w:val="28"/>
        </w:rPr>
        <w:t>衛生</w:t>
      </w:r>
      <w:r>
        <w:rPr>
          <w:rFonts w:ascii="標楷體" w:eastAsia="標楷體" w:hAnsi="標楷體"/>
          <w:sz w:val="28"/>
          <w:szCs w:val="28"/>
        </w:rPr>
        <w:t>管理單位與各級工作場所管理人，應責成相關人員對個人防護具或防護器具，保持清潔，予以必要之消毒，並經常檢查，保持其性能，性能不良時，應隨時更換，不用時並應妥予保存。</w:t>
      </w:r>
    </w:p>
    <w:p w:rsidR="00B86D4C" w:rsidRDefault="002A6305">
      <w:pPr>
        <w:snapToGrid w:val="0"/>
        <w:spacing w:line="360" w:lineRule="auto"/>
        <w:jc w:val="both"/>
      </w:pPr>
      <w:r>
        <w:rPr>
          <w:rFonts w:eastAsia="標楷體"/>
          <w:b/>
          <w:sz w:val="28"/>
          <w:szCs w:val="28"/>
        </w:rPr>
        <w:t>第玖章</w:t>
      </w:r>
      <w:r>
        <w:rPr>
          <w:rFonts w:eastAsia="標楷體"/>
          <w:b/>
          <w:sz w:val="28"/>
          <w:szCs w:val="28"/>
        </w:rPr>
        <w:t xml:space="preserve">   </w:t>
      </w:r>
      <w:r>
        <w:rPr>
          <w:rFonts w:eastAsia="標楷體"/>
          <w:b/>
          <w:sz w:val="28"/>
          <w:szCs w:val="28"/>
        </w:rPr>
        <w:t>事故通報及報告</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任何事故或意外狀況發生時，除立即依權責予以應變處理外，並應立即循本校緊急應變程序通報，職業安全衛生管理單位於接獲通報後，應會同各級工作場所管理人依情況予以必要之處置。</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勞動場所</w:t>
      </w:r>
      <w:r>
        <w:rPr>
          <w:rFonts w:ascii="標楷體" w:eastAsia="標楷體" w:hAnsi="標楷體" w:cs="新細明體"/>
          <w:kern w:val="0"/>
          <w:sz w:val="28"/>
          <w:szCs w:val="28"/>
        </w:rPr>
        <w:t>發生</w:t>
      </w:r>
      <w:r>
        <w:rPr>
          <w:rFonts w:ascii="標楷體" w:eastAsia="標楷體" w:hAnsi="標楷體"/>
          <w:sz w:val="28"/>
          <w:szCs w:val="28"/>
        </w:rPr>
        <w:t>下列職業災害之一者，除採取緊急急救、搶救等措施外，應於8小時內報告</w:t>
      </w:r>
      <w:r w:rsidRPr="00C34FE3">
        <w:rPr>
          <w:rFonts w:ascii="標楷體" w:eastAsia="標楷體" w:hAnsi="標楷體"/>
          <w:sz w:val="28"/>
          <w:szCs w:val="28"/>
          <w:shd w:val="pct15" w:color="auto" w:fill="FFFFFF"/>
        </w:rPr>
        <w:t>勞動檢查機構</w:t>
      </w:r>
      <w:r>
        <w:rPr>
          <w:rFonts w:ascii="標楷體" w:eastAsia="標楷體" w:hAnsi="標楷體"/>
          <w:sz w:val="28"/>
          <w:szCs w:val="28"/>
        </w:rPr>
        <w:t>：</w:t>
      </w:r>
    </w:p>
    <w:p w:rsidR="00B86D4C" w:rsidRDefault="002A6305">
      <w:pPr>
        <w:numPr>
          <w:ilvl w:val="0"/>
          <w:numId w:val="29"/>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死亡災害時。</w:t>
      </w:r>
    </w:p>
    <w:p w:rsidR="00B86D4C" w:rsidRDefault="002A6305">
      <w:pPr>
        <w:numPr>
          <w:ilvl w:val="0"/>
          <w:numId w:val="29"/>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發生災害之罹災人數在3人以上。</w:t>
      </w:r>
    </w:p>
    <w:p w:rsidR="00B86D4C" w:rsidRDefault="002A6305">
      <w:pPr>
        <w:numPr>
          <w:ilvl w:val="0"/>
          <w:numId w:val="29"/>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lastRenderedPageBreak/>
        <w:t>發生災害之罹災人數在1人以上，且需住院治療。</w:t>
      </w:r>
    </w:p>
    <w:p w:rsidR="00B86D4C" w:rsidRDefault="002A6305">
      <w:pPr>
        <w:numPr>
          <w:ilvl w:val="0"/>
          <w:numId w:val="29"/>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其他經中央主管機關指定公告者。</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當校內發生下列「</w:t>
      </w:r>
      <w:r>
        <w:rPr>
          <w:rFonts w:ascii="標楷體" w:eastAsia="標楷體" w:hAnsi="標楷體"/>
          <w:b/>
          <w:sz w:val="28"/>
          <w:szCs w:val="28"/>
        </w:rPr>
        <w:t>緊急事件」</w:t>
      </w:r>
      <w:r>
        <w:rPr>
          <w:rFonts w:ascii="標楷體" w:eastAsia="標楷體" w:hAnsi="標楷體"/>
          <w:sz w:val="28"/>
          <w:szCs w:val="28"/>
        </w:rPr>
        <w:t>時，學校應應於知悉後，立即應變及處理，即時以電話、電訊、傳真或其他科技設備通報上級主管教育行政機關，並於二小時內於校安通報網通報：</w:t>
      </w:r>
    </w:p>
    <w:p w:rsidR="00B86D4C" w:rsidRDefault="002A6305">
      <w:pPr>
        <w:numPr>
          <w:ilvl w:val="0"/>
          <w:numId w:val="30"/>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學校師生有死亡或死亡之虞，或二人以上重傷、中毒、失蹤、受到人身侵害等，且須主管教育行政機關及時知悉或立即協處之事件。</w:t>
      </w:r>
    </w:p>
    <w:p w:rsidR="00B86D4C" w:rsidRDefault="002A6305">
      <w:pPr>
        <w:numPr>
          <w:ilvl w:val="0"/>
          <w:numId w:val="30"/>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災害或不可抗力之因素致情況緊迫，須主管教育行政機關及時知悉或學校自行宣布停課者。</w:t>
      </w:r>
    </w:p>
    <w:p w:rsidR="00B86D4C" w:rsidRDefault="002A6305">
      <w:pPr>
        <w:numPr>
          <w:ilvl w:val="0"/>
          <w:numId w:val="30"/>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逾越學校處理能力及範圍，亟需主管教育行政機關協處之事件。</w:t>
      </w:r>
    </w:p>
    <w:p w:rsidR="00B86D4C" w:rsidRDefault="002A6305">
      <w:pPr>
        <w:numPr>
          <w:ilvl w:val="0"/>
          <w:numId w:val="30"/>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媒體關注之負面事件。</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當校內發生下列「</w:t>
      </w:r>
      <w:r>
        <w:rPr>
          <w:rFonts w:ascii="標楷體" w:eastAsia="標楷體" w:hAnsi="標楷體"/>
          <w:b/>
          <w:sz w:val="28"/>
          <w:szCs w:val="28"/>
        </w:rPr>
        <w:t>法定通報」</w:t>
      </w:r>
      <w:r>
        <w:rPr>
          <w:rFonts w:ascii="標楷體" w:eastAsia="標楷體" w:hAnsi="標楷體"/>
          <w:sz w:val="28"/>
          <w:szCs w:val="28"/>
        </w:rPr>
        <w:t>事件時，應於知悉後，於校安通報網通報，甲級、乙級事件至遲不得逾二十四小時；丙級事件至遲不得逾七十二小時；法有明定者，依各該法規定通報。</w:t>
      </w:r>
    </w:p>
    <w:p w:rsidR="00B86D4C" w:rsidRDefault="002A6305">
      <w:pPr>
        <w:numPr>
          <w:ilvl w:val="0"/>
          <w:numId w:val="31"/>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甲級事件：依法應通報主管機關且嚴重影響學生身心發展之確定事件。</w:t>
      </w:r>
    </w:p>
    <w:p w:rsidR="00B86D4C" w:rsidRDefault="002A6305">
      <w:pPr>
        <w:numPr>
          <w:ilvl w:val="0"/>
          <w:numId w:val="31"/>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乙級事件：依法應通報主管機關且嚴重影響學生身心發展之疑似事件，或非屬甲級之其他確定事件。</w:t>
      </w:r>
    </w:p>
    <w:p w:rsidR="00B86D4C" w:rsidRDefault="002A6305">
      <w:pPr>
        <w:numPr>
          <w:ilvl w:val="0"/>
          <w:numId w:val="31"/>
        </w:numPr>
        <w:tabs>
          <w:tab w:val="left" w:pos="2410"/>
        </w:tabs>
        <w:snapToGrid w:val="0"/>
        <w:spacing w:line="360" w:lineRule="auto"/>
        <w:ind w:left="2410" w:hanging="709"/>
        <w:jc w:val="both"/>
        <w:rPr>
          <w:rFonts w:ascii="標楷體" w:eastAsia="標楷體" w:hAnsi="標楷體"/>
          <w:sz w:val="28"/>
          <w:szCs w:val="28"/>
        </w:rPr>
      </w:pPr>
      <w:r>
        <w:rPr>
          <w:rFonts w:ascii="標楷體" w:eastAsia="標楷體" w:hAnsi="標楷體"/>
          <w:sz w:val="28"/>
          <w:szCs w:val="28"/>
        </w:rPr>
        <w:t>丙級事件：依法應通報主管機關之其他疑似事件。</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當校內發生下列「</w:t>
      </w:r>
      <w:r>
        <w:rPr>
          <w:rFonts w:ascii="標楷體" w:eastAsia="標楷體" w:hAnsi="標楷體"/>
          <w:b/>
          <w:sz w:val="28"/>
          <w:szCs w:val="28"/>
        </w:rPr>
        <w:t>一般校安事件」</w:t>
      </w:r>
      <w:r>
        <w:rPr>
          <w:rFonts w:ascii="標楷體" w:eastAsia="標楷體" w:hAnsi="標楷體"/>
          <w:sz w:val="28"/>
          <w:szCs w:val="28"/>
        </w:rPr>
        <w:t>事件時，應於知悉後，於校安通報網通報，至遲不得逾七日。</w:t>
      </w:r>
    </w:p>
    <w:p w:rsidR="00B86D4C" w:rsidRDefault="002A6305">
      <w:pPr>
        <w:numPr>
          <w:ilvl w:val="0"/>
          <w:numId w:val="32"/>
        </w:numPr>
        <w:tabs>
          <w:tab w:val="left" w:pos="-12"/>
        </w:tabs>
        <w:snapToGrid w:val="0"/>
        <w:spacing w:line="360" w:lineRule="auto"/>
        <w:jc w:val="both"/>
        <w:rPr>
          <w:rFonts w:ascii="標楷體" w:eastAsia="標楷體" w:hAnsi="標楷體"/>
          <w:sz w:val="28"/>
          <w:szCs w:val="28"/>
        </w:rPr>
      </w:pPr>
      <w:r>
        <w:rPr>
          <w:rFonts w:ascii="標楷體" w:eastAsia="標楷體" w:hAnsi="標楷體"/>
          <w:sz w:val="28"/>
          <w:szCs w:val="28"/>
        </w:rPr>
        <w:t>非屬緊急事件、法定通報事件，且宜報主管機關知悉</w:t>
      </w:r>
      <w:r>
        <w:rPr>
          <w:rFonts w:ascii="標楷體" w:eastAsia="標楷體" w:hAnsi="標楷體"/>
          <w:sz w:val="28"/>
          <w:szCs w:val="28"/>
        </w:rPr>
        <w:lastRenderedPageBreak/>
        <w:t>之校安通報事件。</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工作場所發生前條之職業災害時，除必要之急救、搶救外，該現場非經司法機關或勞動檢查機構之許可，不得任意移動或破壞。</w:t>
      </w:r>
    </w:p>
    <w:p w:rsidR="00B86D4C" w:rsidRPr="002338A8" w:rsidRDefault="002A6305" w:rsidP="002338A8">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工作場所發生職業災害時，本校職業安全衛生管理單位及代表工作場所負責人會同工作者代表，實施災害發生原因之調查、分析與作成紀錄，並擬訂妥善之因應對策，依行政作業程序層報經校長核定後，切實實施。</w:t>
      </w:r>
    </w:p>
    <w:p w:rsidR="00B86D4C" w:rsidRDefault="002A6305">
      <w:pPr>
        <w:snapToGrid w:val="0"/>
        <w:spacing w:line="360" w:lineRule="auto"/>
        <w:jc w:val="both"/>
      </w:pPr>
      <w:r>
        <w:rPr>
          <w:rFonts w:eastAsia="標楷體"/>
          <w:b/>
          <w:sz w:val="28"/>
          <w:szCs w:val="28"/>
        </w:rPr>
        <w:t>第拾章</w:t>
      </w:r>
      <w:r>
        <w:rPr>
          <w:rFonts w:eastAsia="標楷體"/>
          <w:b/>
          <w:sz w:val="28"/>
          <w:szCs w:val="28"/>
        </w:rPr>
        <w:t xml:space="preserve">   </w:t>
      </w:r>
      <w:r>
        <w:rPr>
          <w:rFonts w:eastAsia="標楷體"/>
          <w:b/>
          <w:sz w:val="28"/>
          <w:szCs w:val="28"/>
        </w:rPr>
        <w:t>其他有關安全衛生事項</w:t>
      </w:r>
    </w:p>
    <w:p w:rsidR="00B86D4C" w:rsidRDefault="002A6305">
      <w:pPr>
        <w:pStyle w:val="ad"/>
        <w:numPr>
          <w:ilvl w:val="0"/>
          <w:numId w:val="3"/>
        </w:numPr>
        <w:snapToGrid w:val="0"/>
        <w:spacing w:line="360" w:lineRule="auto"/>
        <w:ind w:left="1701" w:hanging="1701"/>
        <w:jc w:val="both"/>
      </w:pPr>
      <w:r>
        <w:rPr>
          <w:rFonts w:ascii="標楷體" w:eastAsia="標楷體" w:hAnsi="標楷體" w:cs="?啁敦??"/>
          <w:kern w:val="0"/>
          <w:sz w:val="28"/>
          <w:szCs w:val="28"/>
        </w:rPr>
        <w:t>使工作者於夏季期間從事戶外作業，為防範高氣溫環境引起之熱</w:t>
      </w:r>
      <w:r>
        <w:rPr>
          <w:rFonts w:ascii="標楷體" w:eastAsia="標楷體" w:hAnsi="標楷體" w:cs="新細明體"/>
          <w:kern w:val="0"/>
          <w:sz w:val="28"/>
          <w:szCs w:val="28"/>
        </w:rPr>
        <w:t>疾病</w:t>
      </w:r>
      <w:r>
        <w:rPr>
          <w:rFonts w:ascii="標楷體" w:eastAsia="標楷體" w:hAnsi="標楷體" w:cs="?啁敦??"/>
          <w:kern w:val="0"/>
          <w:sz w:val="28"/>
          <w:szCs w:val="28"/>
        </w:rPr>
        <w:t>，應視天候狀況採取降低作業場所之溫度、提供陰涼之休息場所、提供適當之飲料或食鹽水、調整作業時間</w:t>
      </w:r>
      <w:r>
        <w:rPr>
          <w:rFonts w:ascii="新細明體" w:hAnsi="新細明體" w:cs="?啁敦??"/>
          <w:kern w:val="0"/>
          <w:sz w:val="28"/>
          <w:szCs w:val="28"/>
        </w:rPr>
        <w:t>、</w:t>
      </w:r>
      <w:r>
        <w:rPr>
          <w:rFonts w:ascii="標楷體" w:eastAsia="標楷體" w:hAnsi="標楷體" w:cs="?啁敦??"/>
          <w:kern w:val="0"/>
          <w:sz w:val="28"/>
          <w:szCs w:val="28"/>
        </w:rPr>
        <w:t>留意身體健康狀況及強化作業場所巡視等危害預防措施。</w:t>
      </w:r>
    </w:p>
    <w:p w:rsidR="00B86D4C" w:rsidRDefault="002A6305">
      <w:pPr>
        <w:pStyle w:val="ad"/>
        <w:numPr>
          <w:ilvl w:val="0"/>
          <w:numId w:val="3"/>
        </w:numPr>
        <w:snapToGrid w:val="0"/>
        <w:spacing w:line="360" w:lineRule="auto"/>
        <w:ind w:left="1701" w:hanging="1701"/>
        <w:jc w:val="both"/>
      </w:pPr>
      <w:r>
        <w:rPr>
          <w:rFonts w:ascii="標楷體" w:eastAsia="標楷體" w:hAnsi="標楷體" w:cs="?啁敦??"/>
          <w:kern w:val="0"/>
          <w:sz w:val="28"/>
          <w:szCs w:val="28"/>
        </w:rPr>
        <w:t>使工作者於颱風天從事外勤作業，有危害工作者之虞者，應視</w:t>
      </w:r>
      <w:r>
        <w:rPr>
          <w:rFonts w:ascii="標楷體" w:eastAsia="標楷體" w:hAnsi="標楷體" w:cs="新細明體"/>
          <w:kern w:val="0"/>
          <w:sz w:val="28"/>
          <w:szCs w:val="28"/>
        </w:rPr>
        <w:t>作業</w:t>
      </w:r>
      <w:r>
        <w:rPr>
          <w:rFonts w:ascii="標楷體" w:eastAsia="標楷體" w:hAnsi="標楷體" w:cs="?啁敦??"/>
          <w:kern w:val="0"/>
          <w:sz w:val="28"/>
          <w:szCs w:val="28"/>
        </w:rPr>
        <w:t>危害性，置備適當救生衣、安全帽、連絡通訊設備及其他必要之安全防護設施與交通工具。</w:t>
      </w:r>
    </w:p>
    <w:p w:rsidR="00B86D4C" w:rsidRDefault="002A6305">
      <w:pPr>
        <w:pStyle w:val="ad"/>
        <w:numPr>
          <w:ilvl w:val="0"/>
          <w:numId w:val="3"/>
        </w:numPr>
        <w:snapToGrid w:val="0"/>
        <w:spacing w:line="360" w:lineRule="auto"/>
        <w:ind w:left="1701" w:hanging="1701"/>
        <w:jc w:val="both"/>
        <w:rPr>
          <w:rFonts w:ascii="標楷體" w:eastAsia="標楷體" w:hAnsi="標楷體" w:cs="?啁敦??"/>
          <w:kern w:val="0"/>
          <w:sz w:val="28"/>
          <w:szCs w:val="28"/>
        </w:rPr>
      </w:pPr>
      <w:r>
        <w:rPr>
          <w:rFonts w:ascii="標楷體" w:eastAsia="標楷體" w:hAnsi="標楷體" w:cs="?啁敦??"/>
          <w:kern w:val="0"/>
          <w:sz w:val="28"/>
          <w:szCs w:val="28"/>
        </w:rPr>
        <w:t>對於連續站立作業之工作者，應設置適當之坐具以供休息之用。</w:t>
      </w:r>
    </w:p>
    <w:p w:rsidR="00B86D4C" w:rsidRDefault="002A6305">
      <w:pPr>
        <w:pStyle w:val="ad"/>
        <w:numPr>
          <w:ilvl w:val="0"/>
          <w:numId w:val="3"/>
        </w:numPr>
        <w:snapToGrid w:val="0"/>
        <w:spacing w:line="360" w:lineRule="auto"/>
        <w:ind w:left="1701" w:hanging="1701"/>
        <w:jc w:val="both"/>
        <w:rPr>
          <w:rFonts w:ascii="標楷體" w:eastAsia="標楷體" w:hAnsi="標楷體"/>
          <w:sz w:val="28"/>
          <w:szCs w:val="28"/>
        </w:rPr>
      </w:pPr>
      <w:r>
        <w:rPr>
          <w:rFonts w:ascii="標楷體" w:eastAsia="標楷體" w:hAnsi="標楷體"/>
          <w:sz w:val="28"/>
          <w:szCs w:val="28"/>
        </w:rPr>
        <w:t>對違反本守則規定之工作者或代表各級工作場所管理人，本校得依相關法令規定處理。</w:t>
      </w:r>
    </w:p>
    <w:p w:rsidR="00B86D4C" w:rsidRDefault="002A6305">
      <w:pPr>
        <w:snapToGrid w:val="0"/>
        <w:spacing w:line="360" w:lineRule="auto"/>
        <w:jc w:val="both"/>
        <w:rPr>
          <w:rFonts w:eastAsia="標楷體"/>
          <w:b/>
          <w:sz w:val="28"/>
          <w:szCs w:val="28"/>
        </w:rPr>
      </w:pPr>
      <w:r>
        <w:rPr>
          <w:rFonts w:eastAsia="標楷體"/>
          <w:b/>
          <w:sz w:val="28"/>
          <w:szCs w:val="28"/>
        </w:rPr>
        <w:t>第拾壹章</w:t>
      </w:r>
      <w:r>
        <w:rPr>
          <w:rFonts w:eastAsia="標楷體"/>
          <w:b/>
          <w:sz w:val="28"/>
          <w:szCs w:val="28"/>
        </w:rPr>
        <w:t xml:space="preserve">   </w:t>
      </w:r>
      <w:r>
        <w:rPr>
          <w:rFonts w:eastAsia="標楷體"/>
          <w:b/>
          <w:sz w:val="28"/>
          <w:szCs w:val="28"/>
        </w:rPr>
        <w:t>附則</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本守則經會同</w:t>
      </w:r>
      <w:r w:rsidRPr="00C34FE3">
        <w:rPr>
          <w:rFonts w:ascii="標楷體" w:eastAsia="標楷體" w:hAnsi="標楷體"/>
          <w:sz w:val="28"/>
          <w:szCs w:val="28"/>
          <w:u w:val="single"/>
          <w:bdr w:val="single" w:sz="4" w:space="0" w:color="auto"/>
        </w:rPr>
        <w:t>勞工代表</w:t>
      </w:r>
      <w:r w:rsidR="00C34FE3">
        <w:rPr>
          <w:rFonts w:ascii="標楷體" w:eastAsia="標楷體" w:hAnsi="標楷體" w:hint="eastAsia"/>
          <w:color w:val="000000"/>
          <w:szCs w:val="24"/>
          <w:u w:val="single"/>
        </w:rPr>
        <w:t xml:space="preserve"> </w:t>
      </w:r>
      <w:r w:rsidR="00C34FE3" w:rsidRPr="00C34FE3">
        <w:rPr>
          <w:rFonts w:ascii="標楷體" w:eastAsia="標楷體" w:hAnsi="標楷體" w:hint="eastAsia"/>
          <w:color w:val="000000"/>
          <w:szCs w:val="24"/>
          <w:u w:val="single"/>
          <w:bdr w:val="single" w:sz="4" w:space="0" w:color="auto"/>
        </w:rPr>
        <w:t>本校教職員工生</w:t>
      </w:r>
      <w:r w:rsidR="00C34FE3" w:rsidRPr="00C34FE3">
        <w:rPr>
          <w:rFonts w:ascii="標楷體" w:eastAsia="標楷體" w:hAnsi="標楷體"/>
          <w:color w:val="000000"/>
          <w:szCs w:val="24"/>
          <w:u w:val="single"/>
          <w:bdr w:val="single" w:sz="4" w:space="0" w:color="auto"/>
        </w:rPr>
        <w:t>代表</w:t>
      </w:r>
      <w:r>
        <w:rPr>
          <w:rFonts w:ascii="標楷體" w:eastAsia="標楷體" w:hAnsi="標楷體"/>
          <w:sz w:val="28"/>
          <w:szCs w:val="28"/>
        </w:rPr>
        <w:t>訂定，並報經勞動檢查機構備查後公告</w:t>
      </w:r>
      <w:r>
        <w:rPr>
          <w:rFonts w:ascii="標楷體" w:eastAsia="標楷體" w:hAnsi="標楷體" w:cs="新細明體"/>
          <w:kern w:val="0"/>
          <w:sz w:val="28"/>
          <w:szCs w:val="28"/>
        </w:rPr>
        <w:t>實施</w:t>
      </w:r>
      <w:r>
        <w:rPr>
          <w:rFonts w:ascii="標楷體" w:eastAsia="標楷體" w:hAnsi="標楷體"/>
          <w:sz w:val="28"/>
          <w:szCs w:val="28"/>
        </w:rPr>
        <w:t>。修改與增訂時亦同。</w:t>
      </w:r>
    </w:p>
    <w:p w:rsidR="00B86D4C" w:rsidRDefault="002A6305">
      <w:pPr>
        <w:pStyle w:val="ad"/>
        <w:numPr>
          <w:ilvl w:val="0"/>
          <w:numId w:val="3"/>
        </w:numPr>
        <w:snapToGrid w:val="0"/>
        <w:spacing w:line="360" w:lineRule="auto"/>
        <w:ind w:left="1701" w:hanging="1701"/>
        <w:jc w:val="both"/>
      </w:pPr>
      <w:r>
        <w:rPr>
          <w:rFonts w:ascii="標楷體" w:eastAsia="標楷體" w:hAnsi="標楷體"/>
          <w:sz w:val="28"/>
          <w:szCs w:val="28"/>
        </w:rPr>
        <w:t>得標(外包)廠商除應遵守本校安全衛生工作守則外，亦應遵守本校職業安全衛生管理單位於工程採購於</w:t>
      </w:r>
      <w:r w:rsidRPr="00C34FE3">
        <w:rPr>
          <w:rFonts w:ascii="標楷體" w:eastAsia="標楷體" w:hAnsi="標楷體"/>
          <w:sz w:val="28"/>
          <w:szCs w:val="28"/>
          <w:shd w:val="pct15" w:color="auto" w:fill="FFFFFF"/>
        </w:rPr>
        <w:t>決標後之開工會</w:t>
      </w:r>
      <w:r w:rsidRPr="00C34FE3">
        <w:rPr>
          <w:rFonts w:ascii="標楷體" w:eastAsia="標楷體" w:hAnsi="標楷體"/>
          <w:sz w:val="28"/>
          <w:szCs w:val="28"/>
          <w:shd w:val="pct15" w:color="auto" w:fill="FFFFFF"/>
        </w:rPr>
        <w:lastRenderedPageBreak/>
        <w:t>議</w:t>
      </w:r>
      <w:r>
        <w:rPr>
          <w:rFonts w:ascii="標楷體" w:eastAsia="標楷體" w:hAnsi="標楷體"/>
          <w:sz w:val="28"/>
          <w:szCs w:val="28"/>
        </w:rPr>
        <w:t>告知之相關事項。</w:t>
      </w:r>
      <w:bookmarkEnd w:id="2"/>
      <w:bookmarkEnd w:id="3"/>
    </w:p>
    <w:sectPr w:rsidR="00B86D4C">
      <w:footerReference w:type="default" r:id="rId8"/>
      <w:pgSz w:w="11906" w:h="16838"/>
      <w:pgMar w:top="1418" w:right="1418" w:bottom="1418" w:left="1418" w:header="851" w:footer="992" w:gutter="0"/>
      <w:cols w:space="720"/>
      <w:titlePg/>
      <w:docGrid w:type="lines" w:linePitch="3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D79" w:rsidRDefault="00AF6D79">
      <w:r>
        <w:separator/>
      </w:r>
    </w:p>
  </w:endnote>
  <w:endnote w:type="continuationSeparator" w:id="0">
    <w:p w:rsidR="00AF6D79" w:rsidRDefault="00AF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啁敦??">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088" w:rsidRDefault="002A6305">
    <w:pPr>
      <w:pStyle w:val="a7"/>
      <w:jc w:val="center"/>
    </w:pPr>
    <w:r>
      <w:rPr>
        <w:rFonts w:ascii="Times New Roman" w:eastAsia="標楷體" w:hAnsi="Times New Roman"/>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3E68CF">
      <w:rPr>
        <w:rFonts w:eastAsia="標楷體"/>
        <w:noProof/>
        <w:lang w:val="zh-TW"/>
      </w:rPr>
      <w:t>18</w:t>
    </w:r>
    <w:r>
      <w:rPr>
        <w:rFonts w:eastAsia="標楷體"/>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eastAsia="標楷體"/>
      </w:rPr>
      <w:fldChar w:fldCharType="begin"/>
    </w:r>
    <w:r>
      <w:rPr>
        <w:rFonts w:eastAsia="標楷體"/>
      </w:rPr>
      <w:instrText xml:space="preserve"> NUMPAGES </w:instrText>
    </w:r>
    <w:r>
      <w:rPr>
        <w:rFonts w:eastAsia="標楷體"/>
      </w:rPr>
      <w:fldChar w:fldCharType="separate"/>
    </w:r>
    <w:r w:rsidR="003E68CF">
      <w:rPr>
        <w:rFonts w:eastAsia="標楷體"/>
        <w:noProof/>
      </w:rPr>
      <w:t>18</w:t>
    </w:r>
    <w:r>
      <w:rPr>
        <w:rFonts w:eastAsia="標楷體"/>
      </w:rPr>
      <w:fldChar w:fldCharType="end"/>
    </w:r>
    <w:r>
      <w:rPr>
        <w:rFonts w:ascii="Times New Roman" w:eastAsia="標楷體" w:hAnsi="Times New Roman"/>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D79" w:rsidRDefault="00AF6D79">
      <w:r>
        <w:rPr>
          <w:color w:val="000000"/>
        </w:rPr>
        <w:separator/>
      </w:r>
    </w:p>
  </w:footnote>
  <w:footnote w:type="continuationSeparator" w:id="0">
    <w:p w:rsidR="00AF6D79" w:rsidRDefault="00AF6D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234D4"/>
    <w:multiLevelType w:val="multilevel"/>
    <w:tmpl w:val="BC36150A"/>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1">
    <w:nsid w:val="078B0960"/>
    <w:multiLevelType w:val="multilevel"/>
    <w:tmpl w:val="A4F60A08"/>
    <w:styleLink w:val="LFO2"/>
    <w:lvl w:ilvl="0">
      <w:start w:val="1"/>
      <w:numFmt w:val="decimal"/>
      <w:pStyle w:val="a"/>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nsid w:val="08C63871"/>
    <w:multiLevelType w:val="multilevel"/>
    <w:tmpl w:val="FD622BFA"/>
    <w:lvl w:ilvl="0">
      <w:start w:val="1"/>
      <w:numFmt w:val="taiwaneseCountingThousand"/>
      <w:lvlText w:val="(%1）"/>
      <w:lvlJc w:val="left"/>
      <w:pPr>
        <w:ind w:left="2400" w:hanging="84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3">
    <w:nsid w:val="0B1B43E7"/>
    <w:multiLevelType w:val="multilevel"/>
    <w:tmpl w:val="547EBC86"/>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4">
    <w:nsid w:val="0E7F4A5E"/>
    <w:multiLevelType w:val="multilevel"/>
    <w:tmpl w:val="7898C24E"/>
    <w:lvl w:ilvl="0">
      <w:start w:val="1"/>
      <w:numFmt w:val="taiwaneseCountingThousand"/>
      <w:lvlText w:val="%1、"/>
      <w:lvlJc w:val="left"/>
      <w:pPr>
        <w:ind w:left="1852" w:hanging="720"/>
      </w:pPr>
      <w:rPr>
        <w:lang w:val="en-US"/>
      </w:r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5">
    <w:nsid w:val="177B7CE0"/>
    <w:multiLevelType w:val="multilevel"/>
    <w:tmpl w:val="F87E9C12"/>
    <w:lvl w:ilvl="0">
      <w:start w:val="1"/>
      <w:numFmt w:val="taiwaneseCountingThousand"/>
      <w:lvlText w:val="%1、"/>
      <w:lvlJc w:val="left"/>
      <w:pPr>
        <w:ind w:left="1729" w:hanging="480"/>
      </w:pPr>
    </w:lvl>
    <w:lvl w:ilvl="1">
      <w:start w:val="1"/>
      <w:numFmt w:val="taiwaneseCountingThousand"/>
      <w:lvlText w:val="（%2）"/>
      <w:lvlJc w:val="left"/>
      <w:pPr>
        <w:ind w:left="2449" w:hanging="720"/>
      </w:pPr>
    </w:lvl>
    <w:lvl w:ilvl="2">
      <w:start w:val="1"/>
      <w:numFmt w:val="lowerRoman"/>
      <w:lvlText w:val="%3."/>
      <w:lvlJc w:val="right"/>
      <w:pPr>
        <w:ind w:left="2689" w:hanging="480"/>
      </w:pPr>
    </w:lvl>
    <w:lvl w:ilvl="3">
      <w:start w:val="1"/>
      <w:numFmt w:val="decimal"/>
      <w:lvlText w:val="%4."/>
      <w:lvlJc w:val="left"/>
      <w:pPr>
        <w:ind w:left="3169" w:hanging="480"/>
      </w:pPr>
    </w:lvl>
    <w:lvl w:ilvl="4">
      <w:start w:val="1"/>
      <w:numFmt w:val="ideographTraditional"/>
      <w:lvlText w:val="%5、"/>
      <w:lvlJc w:val="left"/>
      <w:pPr>
        <w:ind w:left="3649" w:hanging="480"/>
      </w:pPr>
    </w:lvl>
    <w:lvl w:ilvl="5">
      <w:start w:val="1"/>
      <w:numFmt w:val="lowerRoman"/>
      <w:lvlText w:val="%6."/>
      <w:lvlJc w:val="right"/>
      <w:pPr>
        <w:ind w:left="4129" w:hanging="480"/>
      </w:pPr>
    </w:lvl>
    <w:lvl w:ilvl="6">
      <w:start w:val="1"/>
      <w:numFmt w:val="decimal"/>
      <w:lvlText w:val="%7."/>
      <w:lvlJc w:val="left"/>
      <w:pPr>
        <w:ind w:left="4609" w:hanging="480"/>
      </w:pPr>
    </w:lvl>
    <w:lvl w:ilvl="7">
      <w:start w:val="1"/>
      <w:numFmt w:val="ideographTraditional"/>
      <w:lvlText w:val="%8、"/>
      <w:lvlJc w:val="left"/>
      <w:pPr>
        <w:ind w:left="5089" w:hanging="480"/>
      </w:pPr>
    </w:lvl>
    <w:lvl w:ilvl="8">
      <w:start w:val="1"/>
      <w:numFmt w:val="lowerRoman"/>
      <w:lvlText w:val="%9."/>
      <w:lvlJc w:val="right"/>
      <w:pPr>
        <w:ind w:left="5569" w:hanging="480"/>
      </w:pPr>
    </w:lvl>
  </w:abstractNum>
  <w:abstractNum w:abstractNumId="6">
    <w:nsid w:val="20F164EC"/>
    <w:multiLevelType w:val="multilevel"/>
    <w:tmpl w:val="D8AAB05A"/>
    <w:lvl w:ilvl="0">
      <w:start w:val="1"/>
      <w:numFmt w:val="taiwaneseCountingThousand"/>
      <w:lvlText w:val="(%1）"/>
      <w:lvlJc w:val="left"/>
      <w:pPr>
        <w:ind w:left="2400" w:hanging="84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7">
    <w:nsid w:val="28686861"/>
    <w:multiLevelType w:val="multilevel"/>
    <w:tmpl w:val="4498FD7E"/>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8">
    <w:nsid w:val="2D7524A1"/>
    <w:multiLevelType w:val="multilevel"/>
    <w:tmpl w:val="E8E66622"/>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9">
    <w:nsid w:val="2DC40325"/>
    <w:multiLevelType w:val="multilevel"/>
    <w:tmpl w:val="93DE362C"/>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10">
    <w:nsid w:val="31C76CCE"/>
    <w:multiLevelType w:val="multilevel"/>
    <w:tmpl w:val="EFB487C8"/>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11">
    <w:nsid w:val="3447329D"/>
    <w:multiLevelType w:val="multilevel"/>
    <w:tmpl w:val="E348DD4A"/>
    <w:lvl w:ilvl="0">
      <w:start w:val="1"/>
      <w:numFmt w:val="taiwaneseCountingThousand"/>
      <w:lvlText w:val="%1、"/>
      <w:lvlJc w:val="left"/>
      <w:pPr>
        <w:ind w:left="242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12">
    <w:nsid w:val="36CB571F"/>
    <w:multiLevelType w:val="multilevel"/>
    <w:tmpl w:val="116CC7DA"/>
    <w:lvl w:ilvl="0">
      <w:start w:val="1"/>
      <w:numFmt w:val="taiwaneseCountingThousand"/>
      <w:lvlText w:val="%1、"/>
      <w:lvlJc w:val="left"/>
      <w:pPr>
        <w:ind w:left="242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13">
    <w:nsid w:val="387C1A9D"/>
    <w:multiLevelType w:val="singleLevel"/>
    <w:tmpl w:val="EB04A154"/>
    <w:lvl w:ilvl="0">
      <w:start w:val="1"/>
      <w:numFmt w:val="upperLetter"/>
      <w:lvlText w:val="%1、"/>
      <w:lvlJc w:val="left"/>
      <w:pPr>
        <w:tabs>
          <w:tab w:val="num" w:pos="480"/>
        </w:tabs>
        <w:ind w:left="480" w:hanging="480"/>
      </w:pPr>
      <w:rPr>
        <w:rFonts w:hint="eastAsia"/>
      </w:rPr>
    </w:lvl>
  </w:abstractNum>
  <w:abstractNum w:abstractNumId="14">
    <w:nsid w:val="3F2103E3"/>
    <w:multiLevelType w:val="multilevel"/>
    <w:tmpl w:val="7D7207DC"/>
    <w:lvl w:ilvl="0">
      <w:start w:val="1"/>
      <w:numFmt w:val="taiwaneseCountingThousand"/>
      <w:lvlText w:val="%1、"/>
      <w:lvlJc w:val="left"/>
      <w:pPr>
        <w:ind w:left="3414" w:hanging="720"/>
      </w:pPr>
      <w:rPr>
        <w:lang w:val="en-US"/>
      </w:r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15">
    <w:nsid w:val="3F8B6846"/>
    <w:multiLevelType w:val="multilevel"/>
    <w:tmpl w:val="0332E8F0"/>
    <w:lvl w:ilvl="0">
      <w:start w:val="1"/>
      <w:numFmt w:val="taiwaneseCountingThousand"/>
      <w:lvlText w:val="(%1）"/>
      <w:lvlJc w:val="left"/>
      <w:pPr>
        <w:ind w:left="2434" w:hanging="480"/>
      </w:pPr>
    </w:lvl>
    <w:lvl w:ilvl="1">
      <w:start w:val="1"/>
      <w:numFmt w:val="ideographTraditional"/>
      <w:lvlText w:val="%2、"/>
      <w:lvlJc w:val="left"/>
      <w:pPr>
        <w:ind w:left="2914" w:hanging="480"/>
      </w:pPr>
    </w:lvl>
    <w:lvl w:ilvl="2">
      <w:start w:val="1"/>
      <w:numFmt w:val="lowerRoman"/>
      <w:lvlText w:val="%3."/>
      <w:lvlJc w:val="right"/>
      <w:pPr>
        <w:ind w:left="3394" w:hanging="480"/>
      </w:pPr>
    </w:lvl>
    <w:lvl w:ilvl="3">
      <w:start w:val="1"/>
      <w:numFmt w:val="decimal"/>
      <w:lvlText w:val="%4."/>
      <w:lvlJc w:val="left"/>
      <w:pPr>
        <w:ind w:left="3874" w:hanging="480"/>
      </w:pPr>
    </w:lvl>
    <w:lvl w:ilvl="4">
      <w:start w:val="1"/>
      <w:numFmt w:val="ideographTraditional"/>
      <w:lvlText w:val="%5、"/>
      <w:lvlJc w:val="left"/>
      <w:pPr>
        <w:ind w:left="4354" w:hanging="480"/>
      </w:pPr>
    </w:lvl>
    <w:lvl w:ilvl="5">
      <w:start w:val="1"/>
      <w:numFmt w:val="lowerRoman"/>
      <w:lvlText w:val="%6."/>
      <w:lvlJc w:val="right"/>
      <w:pPr>
        <w:ind w:left="4834" w:hanging="480"/>
      </w:pPr>
    </w:lvl>
    <w:lvl w:ilvl="6">
      <w:start w:val="1"/>
      <w:numFmt w:val="decimal"/>
      <w:lvlText w:val="%7."/>
      <w:lvlJc w:val="left"/>
      <w:pPr>
        <w:ind w:left="5314" w:hanging="480"/>
      </w:pPr>
    </w:lvl>
    <w:lvl w:ilvl="7">
      <w:start w:val="1"/>
      <w:numFmt w:val="ideographTraditional"/>
      <w:lvlText w:val="%8、"/>
      <w:lvlJc w:val="left"/>
      <w:pPr>
        <w:ind w:left="5794" w:hanging="480"/>
      </w:pPr>
    </w:lvl>
    <w:lvl w:ilvl="8">
      <w:start w:val="1"/>
      <w:numFmt w:val="lowerRoman"/>
      <w:lvlText w:val="%9."/>
      <w:lvlJc w:val="right"/>
      <w:pPr>
        <w:ind w:left="6274" w:hanging="480"/>
      </w:pPr>
    </w:lvl>
  </w:abstractNum>
  <w:abstractNum w:abstractNumId="16">
    <w:nsid w:val="400D03EE"/>
    <w:multiLevelType w:val="multilevel"/>
    <w:tmpl w:val="047C786E"/>
    <w:lvl w:ilvl="0">
      <w:start w:val="1"/>
      <w:numFmt w:val="taiwaneseCountingThousand"/>
      <w:lvlText w:val="第%1條"/>
      <w:lvlJc w:val="left"/>
      <w:pPr>
        <w:ind w:left="720" w:hanging="72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nsid w:val="44C4679E"/>
    <w:multiLevelType w:val="multilevel"/>
    <w:tmpl w:val="BD4C8050"/>
    <w:lvl w:ilvl="0">
      <w:start w:val="1"/>
      <w:numFmt w:val="taiwaneseCountingThousand"/>
      <w:lvlText w:val="%1、"/>
      <w:lvlJc w:val="left"/>
      <w:pPr>
        <w:ind w:left="1802" w:hanging="480"/>
      </w:pPr>
    </w:lvl>
    <w:lvl w:ilvl="1">
      <w:start w:val="1"/>
      <w:numFmt w:val="ideographTraditional"/>
      <w:lvlText w:val="%2、"/>
      <w:lvlJc w:val="left"/>
      <w:pPr>
        <w:ind w:left="2282" w:hanging="480"/>
      </w:pPr>
    </w:lvl>
    <w:lvl w:ilvl="2">
      <w:start w:val="1"/>
      <w:numFmt w:val="lowerRoman"/>
      <w:lvlText w:val="%3."/>
      <w:lvlJc w:val="right"/>
      <w:pPr>
        <w:ind w:left="2762" w:hanging="480"/>
      </w:pPr>
    </w:lvl>
    <w:lvl w:ilvl="3">
      <w:start w:val="1"/>
      <w:numFmt w:val="decimal"/>
      <w:lvlText w:val="%4."/>
      <w:lvlJc w:val="left"/>
      <w:pPr>
        <w:ind w:left="3242" w:hanging="480"/>
      </w:pPr>
    </w:lvl>
    <w:lvl w:ilvl="4">
      <w:start w:val="1"/>
      <w:numFmt w:val="ideographTraditional"/>
      <w:lvlText w:val="%5、"/>
      <w:lvlJc w:val="left"/>
      <w:pPr>
        <w:ind w:left="3722" w:hanging="480"/>
      </w:pPr>
    </w:lvl>
    <w:lvl w:ilvl="5">
      <w:start w:val="1"/>
      <w:numFmt w:val="lowerRoman"/>
      <w:lvlText w:val="%6."/>
      <w:lvlJc w:val="right"/>
      <w:pPr>
        <w:ind w:left="4202" w:hanging="480"/>
      </w:pPr>
    </w:lvl>
    <w:lvl w:ilvl="6">
      <w:start w:val="1"/>
      <w:numFmt w:val="decimal"/>
      <w:lvlText w:val="%7."/>
      <w:lvlJc w:val="left"/>
      <w:pPr>
        <w:ind w:left="4682" w:hanging="480"/>
      </w:pPr>
    </w:lvl>
    <w:lvl w:ilvl="7">
      <w:start w:val="1"/>
      <w:numFmt w:val="ideographTraditional"/>
      <w:lvlText w:val="%8、"/>
      <w:lvlJc w:val="left"/>
      <w:pPr>
        <w:ind w:left="5162" w:hanging="480"/>
      </w:pPr>
    </w:lvl>
    <w:lvl w:ilvl="8">
      <w:start w:val="1"/>
      <w:numFmt w:val="lowerRoman"/>
      <w:lvlText w:val="%9."/>
      <w:lvlJc w:val="right"/>
      <w:pPr>
        <w:ind w:left="5642" w:hanging="480"/>
      </w:pPr>
    </w:lvl>
  </w:abstractNum>
  <w:abstractNum w:abstractNumId="18">
    <w:nsid w:val="45F50FCA"/>
    <w:multiLevelType w:val="multilevel"/>
    <w:tmpl w:val="CA3C19C2"/>
    <w:lvl w:ilvl="0">
      <w:start w:val="1"/>
      <w:numFmt w:val="taiwaneseCountingThousand"/>
      <w:lvlText w:val="%1、"/>
      <w:lvlJc w:val="left"/>
      <w:pPr>
        <w:ind w:left="1852" w:hanging="720"/>
      </w:pPr>
      <w:rPr>
        <w:lang w:val="en-US"/>
      </w:r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19">
    <w:nsid w:val="464D38C0"/>
    <w:multiLevelType w:val="multilevel"/>
    <w:tmpl w:val="ACACE7C4"/>
    <w:styleLink w:val="WWOutlineListStyle"/>
    <w:lvl w:ilvl="0">
      <w:start w:val="1"/>
      <w:numFmt w:val="decimal"/>
      <w:pStyle w:val="a0"/>
      <w:lvlText w:val="%1"/>
      <w:lvlJc w:val="left"/>
      <w:pPr>
        <w:ind w:left="425" w:hanging="425"/>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nsid w:val="49626F91"/>
    <w:multiLevelType w:val="multilevel"/>
    <w:tmpl w:val="CB8AF85C"/>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21">
    <w:nsid w:val="509E7A9C"/>
    <w:multiLevelType w:val="multilevel"/>
    <w:tmpl w:val="00040ABC"/>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22">
    <w:nsid w:val="50A2254A"/>
    <w:multiLevelType w:val="multilevel"/>
    <w:tmpl w:val="7BC8253A"/>
    <w:lvl w:ilvl="0">
      <w:start w:val="1"/>
      <w:numFmt w:val="taiwaneseCountingThousand"/>
      <w:lvlText w:val="(%1）"/>
      <w:lvlJc w:val="left"/>
      <w:pPr>
        <w:ind w:left="2400" w:hanging="84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23">
    <w:nsid w:val="594B66CF"/>
    <w:multiLevelType w:val="multilevel"/>
    <w:tmpl w:val="D41236FA"/>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24">
    <w:nsid w:val="5A4F612C"/>
    <w:multiLevelType w:val="multilevel"/>
    <w:tmpl w:val="26C2313A"/>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25">
    <w:nsid w:val="5E565203"/>
    <w:multiLevelType w:val="multilevel"/>
    <w:tmpl w:val="0908D984"/>
    <w:lvl w:ilvl="0">
      <w:start w:val="1"/>
      <w:numFmt w:val="taiwaneseCountingThousand"/>
      <w:lvlText w:val="%1、"/>
      <w:lvlJc w:val="left"/>
      <w:pPr>
        <w:ind w:left="1855" w:hanging="720"/>
      </w:pPr>
      <w:rPr>
        <w:lang w:val="en-US"/>
      </w:r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26">
    <w:nsid w:val="62B50ADF"/>
    <w:multiLevelType w:val="multilevel"/>
    <w:tmpl w:val="77EAE906"/>
    <w:lvl w:ilvl="0">
      <w:start w:val="1"/>
      <w:numFmt w:val="taiwaneseCountingThousand"/>
      <w:lvlText w:val="%1、"/>
      <w:lvlJc w:val="left"/>
      <w:pPr>
        <w:ind w:left="1749" w:hanging="480"/>
      </w:pPr>
    </w:lvl>
    <w:lvl w:ilvl="1">
      <w:start w:val="1"/>
      <w:numFmt w:val="ideographTraditional"/>
      <w:lvlText w:val="%2、"/>
      <w:lvlJc w:val="left"/>
      <w:pPr>
        <w:ind w:left="2229" w:hanging="480"/>
      </w:pPr>
    </w:lvl>
    <w:lvl w:ilvl="2">
      <w:start w:val="1"/>
      <w:numFmt w:val="lowerRoman"/>
      <w:lvlText w:val="%3."/>
      <w:lvlJc w:val="right"/>
      <w:pPr>
        <w:ind w:left="2709" w:hanging="480"/>
      </w:pPr>
    </w:lvl>
    <w:lvl w:ilvl="3">
      <w:start w:val="1"/>
      <w:numFmt w:val="decimal"/>
      <w:lvlText w:val="%4."/>
      <w:lvlJc w:val="left"/>
      <w:pPr>
        <w:ind w:left="3189" w:hanging="480"/>
      </w:pPr>
    </w:lvl>
    <w:lvl w:ilvl="4">
      <w:start w:val="1"/>
      <w:numFmt w:val="ideographTraditional"/>
      <w:lvlText w:val="%5、"/>
      <w:lvlJc w:val="left"/>
      <w:pPr>
        <w:ind w:left="3669" w:hanging="480"/>
      </w:pPr>
    </w:lvl>
    <w:lvl w:ilvl="5">
      <w:start w:val="1"/>
      <w:numFmt w:val="lowerRoman"/>
      <w:lvlText w:val="%6."/>
      <w:lvlJc w:val="right"/>
      <w:pPr>
        <w:ind w:left="4149" w:hanging="480"/>
      </w:pPr>
    </w:lvl>
    <w:lvl w:ilvl="6">
      <w:start w:val="1"/>
      <w:numFmt w:val="decimal"/>
      <w:lvlText w:val="%7."/>
      <w:lvlJc w:val="left"/>
      <w:pPr>
        <w:ind w:left="4629" w:hanging="480"/>
      </w:pPr>
    </w:lvl>
    <w:lvl w:ilvl="7">
      <w:start w:val="1"/>
      <w:numFmt w:val="ideographTraditional"/>
      <w:lvlText w:val="%8、"/>
      <w:lvlJc w:val="left"/>
      <w:pPr>
        <w:ind w:left="5109" w:hanging="480"/>
      </w:pPr>
    </w:lvl>
    <w:lvl w:ilvl="8">
      <w:start w:val="1"/>
      <w:numFmt w:val="lowerRoman"/>
      <w:lvlText w:val="%9."/>
      <w:lvlJc w:val="right"/>
      <w:pPr>
        <w:ind w:left="5589" w:hanging="480"/>
      </w:pPr>
    </w:lvl>
  </w:abstractNum>
  <w:abstractNum w:abstractNumId="27">
    <w:nsid w:val="667F5A8F"/>
    <w:multiLevelType w:val="multilevel"/>
    <w:tmpl w:val="E38AEBA0"/>
    <w:lvl w:ilvl="0">
      <w:start w:val="1"/>
      <w:numFmt w:val="taiwaneseCountingThousand"/>
      <w:lvlText w:val="%1、"/>
      <w:lvlJc w:val="left"/>
      <w:pPr>
        <w:ind w:left="1755" w:hanging="480"/>
      </w:pPr>
    </w:lvl>
    <w:lvl w:ilvl="1">
      <w:start w:val="1"/>
      <w:numFmt w:val="ideographTraditional"/>
      <w:lvlText w:val="%2、"/>
      <w:lvlJc w:val="left"/>
      <w:pPr>
        <w:ind w:left="2235" w:hanging="480"/>
      </w:pPr>
    </w:lvl>
    <w:lvl w:ilvl="2">
      <w:start w:val="1"/>
      <w:numFmt w:val="lowerRoman"/>
      <w:lvlText w:val="%3."/>
      <w:lvlJc w:val="right"/>
      <w:pPr>
        <w:ind w:left="2715" w:hanging="480"/>
      </w:pPr>
    </w:lvl>
    <w:lvl w:ilvl="3">
      <w:start w:val="1"/>
      <w:numFmt w:val="decimal"/>
      <w:lvlText w:val="%4."/>
      <w:lvlJc w:val="left"/>
      <w:pPr>
        <w:ind w:left="3195" w:hanging="480"/>
      </w:pPr>
    </w:lvl>
    <w:lvl w:ilvl="4">
      <w:start w:val="1"/>
      <w:numFmt w:val="ideographTraditional"/>
      <w:lvlText w:val="%5、"/>
      <w:lvlJc w:val="left"/>
      <w:pPr>
        <w:ind w:left="3675" w:hanging="480"/>
      </w:pPr>
    </w:lvl>
    <w:lvl w:ilvl="5">
      <w:start w:val="1"/>
      <w:numFmt w:val="lowerRoman"/>
      <w:lvlText w:val="%6."/>
      <w:lvlJc w:val="right"/>
      <w:pPr>
        <w:ind w:left="4155" w:hanging="480"/>
      </w:pPr>
    </w:lvl>
    <w:lvl w:ilvl="6">
      <w:start w:val="1"/>
      <w:numFmt w:val="decimal"/>
      <w:lvlText w:val="%7."/>
      <w:lvlJc w:val="left"/>
      <w:pPr>
        <w:ind w:left="4635" w:hanging="480"/>
      </w:pPr>
    </w:lvl>
    <w:lvl w:ilvl="7">
      <w:start w:val="1"/>
      <w:numFmt w:val="ideographTraditional"/>
      <w:lvlText w:val="%8、"/>
      <w:lvlJc w:val="left"/>
      <w:pPr>
        <w:ind w:left="5115" w:hanging="480"/>
      </w:pPr>
    </w:lvl>
    <w:lvl w:ilvl="8">
      <w:start w:val="1"/>
      <w:numFmt w:val="lowerRoman"/>
      <w:lvlText w:val="%9."/>
      <w:lvlJc w:val="right"/>
      <w:pPr>
        <w:ind w:left="5595" w:hanging="480"/>
      </w:pPr>
    </w:lvl>
  </w:abstractNum>
  <w:abstractNum w:abstractNumId="28">
    <w:nsid w:val="6BF86513"/>
    <w:multiLevelType w:val="multilevel"/>
    <w:tmpl w:val="B552C380"/>
    <w:lvl w:ilvl="0">
      <w:start w:val="1"/>
      <w:numFmt w:val="taiwaneseCountingThousand"/>
      <w:lvlText w:val="%1、"/>
      <w:lvlJc w:val="left"/>
      <w:pPr>
        <w:ind w:left="242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29">
    <w:nsid w:val="6D7B689C"/>
    <w:multiLevelType w:val="multilevel"/>
    <w:tmpl w:val="050E67C8"/>
    <w:lvl w:ilvl="0">
      <w:start w:val="1"/>
      <w:numFmt w:val="taiwaneseCountingThousand"/>
      <w:lvlText w:val="%1、"/>
      <w:lvlJc w:val="left"/>
      <w:pPr>
        <w:ind w:left="172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nsid w:val="7487288A"/>
    <w:multiLevelType w:val="multilevel"/>
    <w:tmpl w:val="D68410E0"/>
    <w:lvl w:ilvl="0">
      <w:start w:val="1"/>
      <w:numFmt w:val="taiwaneseCountingThousand"/>
      <w:lvlText w:val="(%1）"/>
      <w:lvlJc w:val="left"/>
      <w:pPr>
        <w:ind w:left="2400" w:hanging="84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31">
    <w:nsid w:val="7AF83D46"/>
    <w:multiLevelType w:val="multilevel"/>
    <w:tmpl w:val="E9DC6190"/>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abstractNum w:abstractNumId="32">
    <w:nsid w:val="7C5B0DF2"/>
    <w:multiLevelType w:val="multilevel"/>
    <w:tmpl w:val="75E67DA6"/>
    <w:lvl w:ilvl="0">
      <w:start w:val="1"/>
      <w:numFmt w:val="taiwaneseCountingThousand"/>
      <w:lvlText w:val="%1、"/>
      <w:lvlJc w:val="left"/>
      <w:pPr>
        <w:ind w:left="1852" w:hanging="720"/>
      </w:pPr>
    </w:lvl>
    <w:lvl w:ilvl="1">
      <w:start w:val="1"/>
      <w:numFmt w:val="ideographTraditional"/>
      <w:lvlText w:val="%2、"/>
      <w:lvlJc w:val="left"/>
      <w:pPr>
        <w:ind w:left="2092" w:hanging="480"/>
      </w:pPr>
    </w:lvl>
    <w:lvl w:ilvl="2">
      <w:start w:val="1"/>
      <w:numFmt w:val="lowerRoman"/>
      <w:lvlText w:val="%3."/>
      <w:lvlJc w:val="right"/>
      <w:pPr>
        <w:ind w:left="2572" w:hanging="480"/>
      </w:pPr>
    </w:lvl>
    <w:lvl w:ilvl="3">
      <w:start w:val="1"/>
      <w:numFmt w:val="decimal"/>
      <w:lvlText w:val="%4."/>
      <w:lvlJc w:val="left"/>
      <w:pPr>
        <w:ind w:left="3052" w:hanging="480"/>
      </w:pPr>
    </w:lvl>
    <w:lvl w:ilvl="4">
      <w:start w:val="1"/>
      <w:numFmt w:val="ideographTraditional"/>
      <w:lvlText w:val="%5、"/>
      <w:lvlJc w:val="left"/>
      <w:pPr>
        <w:ind w:left="3532" w:hanging="480"/>
      </w:pPr>
    </w:lvl>
    <w:lvl w:ilvl="5">
      <w:start w:val="1"/>
      <w:numFmt w:val="lowerRoman"/>
      <w:lvlText w:val="%6."/>
      <w:lvlJc w:val="right"/>
      <w:pPr>
        <w:ind w:left="4012" w:hanging="480"/>
      </w:pPr>
    </w:lvl>
    <w:lvl w:ilvl="6">
      <w:start w:val="1"/>
      <w:numFmt w:val="decimal"/>
      <w:lvlText w:val="%7."/>
      <w:lvlJc w:val="left"/>
      <w:pPr>
        <w:ind w:left="4492" w:hanging="480"/>
      </w:pPr>
    </w:lvl>
    <w:lvl w:ilvl="7">
      <w:start w:val="1"/>
      <w:numFmt w:val="ideographTraditional"/>
      <w:lvlText w:val="%8、"/>
      <w:lvlJc w:val="left"/>
      <w:pPr>
        <w:ind w:left="4972" w:hanging="480"/>
      </w:pPr>
    </w:lvl>
    <w:lvl w:ilvl="8">
      <w:start w:val="1"/>
      <w:numFmt w:val="lowerRoman"/>
      <w:lvlText w:val="%9."/>
      <w:lvlJc w:val="right"/>
      <w:pPr>
        <w:ind w:left="5452" w:hanging="480"/>
      </w:pPr>
    </w:lvl>
  </w:abstractNum>
  <w:num w:numId="1">
    <w:abstractNumId w:val="19"/>
  </w:num>
  <w:num w:numId="2">
    <w:abstractNumId w:val="1"/>
  </w:num>
  <w:num w:numId="3">
    <w:abstractNumId w:val="16"/>
  </w:num>
  <w:num w:numId="4">
    <w:abstractNumId w:val="26"/>
  </w:num>
  <w:num w:numId="5">
    <w:abstractNumId w:val="17"/>
  </w:num>
  <w:num w:numId="6">
    <w:abstractNumId w:val="5"/>
  </w:num>
  <w:num w:numId="7">
    <w:abstractNumId w:val="15"/>
  </w:num>
  <w:num w:numId="8">
    <w:abstractNumId w:val="29"/>
  </w:num>
  <w:num w:numId="9">
    <w:abstractNumId w:val="27"/>
  </w:num>
  <w:num w:numId="10">
    <w:abstractNumId w:val="25"/>
  </w:num>
  <w:num w:numId="11">
    <w:abstractNumId w:val="7"/>
  </w:num>
  <w:num w:numId="12">
    <w:abstractNumId w:val="23"/>
  </w:num>
  <w:num w:numId="13">
    <w:abstractNumId w:val="0"/>
  </w:num>
  <w:num w:numId="14">
    <w:abstractNumId w:val="20"/>
  </w:num>
  <w:num w:numId="15">
    <w:abstractNumId w:val="32"/>
  </w:num>
  <w:num w:numId="16">
    <w:abstractNumId w:val="21"/>
  </w:num>
  <w:num w:numId="17">
    <w:abstractNumId w:val="8"/>
  </w:num>
  <w:num w:numId="18">
    <w:abstractNumId w:val="4"/>
  </w:num>
  <w:num w:numId="19">
    <w:abstractNumId w:val="18"/>
  </w:num>
  <w:num w:numId="20">
    <w:abstractNumId w:val="14"/>
  </w:num>
  <w:num w:numId="21">
    <w:abstractNumId w:val="9"/>
  </w:num>
  <w:num w:numId="22">
    <w:abstractNumId w:val="3"/>
  </w:num>
  <w:num w:numId="23">
    <w:abstractNumId w:val="22"/>
  </w:num>
  <w:num w:numId="24">
    <w:abstractNumId w:val="6"/>
  </w:num>
  <w:num w:numId="25">
    <w:abstractNumId w:val="30"/>
  </w:num>
  <w:num w:numId="26">
    <w:abstractNumId w:val="2"/>
  </w:num>
  <w:num w:numId="27">
    <w:abstractNumId w:val="10"/>
  </w:num>
  <w:num w:numId="28">
    <w:abstractNumId w:val="31"/>
  </w:num>
  <w:num w:numId="29">
    <w:abstractNumId w:val="24"/>
  </w:num>
  <w:num w:numId="30">
    <w:abstractNumId w:val="11"/>
  </w:num>
  <w:num w:numId="31">
    <w:abstractNumId w:val="12"/>
  </w:num>
  <w:num w:numId="32">
    <w:abstractNumId w:val="28"/>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86D4C"/>
    <w:rsid w:val="001132F5"/>
    <w:rsid w:val="00196B7B"/>
    <w:rsid w:val="001E5307"/>
    <w:rsid w:val="00223561"/>
    <w:rsid w:val="002338A8"/>
    <w:rsid w:val="002A0335"/>
    <w:rsid w:val="002A6305"/>
    <w:rsid w:val="002D0170"/>
    <w:rsid w:val="002E3D7C"/>
    <w:rsid w:val="003E68CF"/>
    <w:rsid w:val="0079645F"/>
    <w:rsid w:val="008059D1"/>
    <w:rsid w:val="008D77CF"/>
    <w:rsid w:val="00AF6D79"/>
    <w:rsid w:val="00B14748"/>
    <w:rsid w:val="00B60CA2"/>
    <w:rsid w:val="00B86D4C"/>
    <w:rsid w:val="00BA6959"/>
    <w:rsid w:val="00C34FE3"/>
    <w:rsid w:val="00C56930"/>
    <w:rsid w:val="00D52517"/>
    <w:rsid w:val="00DD2E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pPr>
      <w:widowControl w:val="0"/>
      <w:suppressAutoHyphens/>
    </w:pPr>
    <w:rPr>
      <w:kern w:val="3"/>
      <w:sz w:val="24"/>
      <w:szCs w:val="22"/>
    </w:rPr>
  </w:style>
  <w:style w:type="paragraph" w:styleId="1">
    <w:name w:val="heading 1"/>
    <w:basedOn w:val="a1"/>
    <w:next w:val="a1"/>
    <w:qFormat/>
    <w:pPr>
      <w:keepNext/>
      <w:spacing w:before="180" w:after="180" w:line="720" w:lineRule="auto"/>
      <w:outlineLvl w:val="0"/>
    </w:pPr>
    <w:rPr>
      <w:rFonts w:ascii="Cambria" w:hAnsi="Cambria"/>
      <w:b/>
      <w:bCs/>
      <w:sz w:val="52"/>
      <w:szCs w:val="52"/>
    </w:rPr>
  </w:style>
  <w:style w:type="paragraph" w:styleId="2">
    <w:name w:val="heading 2"/>
    <w:basedOn w:val="a1"/>
    <w:next w:val="a1"/>
    <w:pPr>
      <w:keepNext/>
      <w:spacing w:line="720" w:lineRule="auto"/>
      <w:outlineLvl w:val="1"/>
    </w:pPr>
    <w:rPr>
      <w:rFonts w:ascii="Cambria" w:hAnsi="Cambria"/>
      <w:b/>
      <w:bCs/>
      <w:kern w:val="0"/>
      <w:sz w:val="48"/>
      <w:szCs w:val="48"/>
    </w:rPr>
  </w:style>
  <w:style w:type="paragraph" w:styleId="3">
    <w:name w:val="heading 3"/>
    <w:basedOn w:val="a1"/>
    <w:next w:val="a1"/>
    <w:pPr>
      <w:keepNext/>
      <w:spacing w:line="720" w:lineRule="auto"/>
      <w:outlineLvl w:val="2"/>
    </w:pPr>
    <w:rPr>
      <w:rFonts w:ascii="Cambria" w:hAnsi="Cambria"/>
      <w:b/>
      <w:bCs/>
      <w:kern w:val="0"/>
      <w:sz w:val="36"/>
      <w:szCs w:val="36"/>
    </w:rPr>
  </w:style>
  <w:style w:type="paragraph" w:styleId="4">
    <w:name w:val="heading 4"/>
    <w:basedOn w:val="a1"/>
    <w:next w:val="a1"/>
    <w:pPr>
      <w:keepNext/>
      <w:spacing w:line="720" w:lineRule="auto"/>
      <w:outlineLvl w:val="3"/>
    </w:pPr>
    <w:rPr>
      <w:rFonts w:ascii="Cambria" w:hAnsi="Cambria"/>
      <w:kern w:val="0"/>
      <w:sz w:val="36"/>
      <w:szCs w:val="36"/>
    </w:rPr>
  </w:style>
  <w:style w:type="paragraph" w:styleId="5">
    <w:name w:val="heading 5"/>
    <w:basedOn w:val="a1"/>
    <w:next w:val="a1"/>
    <w:pPr>
      <w:keepNext/>
      <w:spacing w:line="720" w:lineRule="auto"/>
      <w:ind w:left="200"/>
      <w:outlineLvl w:val="4"/>
    </w:pPr>
    <w:rPr>
      <w:rFonts w:ascii="Cambria" w:hAnsi="Cambria"/>
      <w:b/>
      <w:bCs/>
      <w:kern w:val="0"/>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WWOutlineListStyle">
    <w:name w:val="WW_OutlineListStyle"/>
    <w:basedOn w:val="a4"/>
    <w:pPr>
      <w:numPr>
        <w:numId w:val="1"/>
      </w:numPr>
    </w:pPr>
  </w:style>
  <w:style w:type="paragraph" w:styleId="a0">
    <w:name w:val="Title"/>
    <w:basedOn w:val="a1"/>
    <w:next w:val="a1"/>
    <w:pPr>
      <w:numPr>
        <w:numId w:val="1"/>
      </w:numPr>
      <w:spacing w:before="240"/>
      <w:jc w:val="both"/>
      <w:outlineLvl w:val="0"/>
    </w:pPr>
    <w:rPr>
      <w:rFonts w:ascii="Times New Roman" w:eastAsia="標楷體" w:hAnsi="Times New Roman"/>
      <w:b/>
      <w:bCs/>
      <w:kern w:val="0"/>
      <w:sz w:val="32"/>
      <w:szCs w:val="32"/>
    </w:rPr>
  </w:style>
  <w:style w:type="paragraph" w:customStyle="1" w:styleId="21">
    <w:name w:val="標題 21"/>
    <w:basedOn w:val="a1"/>
    <w:next w:val="a1"/>
    <w:pPr>
      <w:keepNext/>
      <w:spacing w:line="720" w:lineRule="auto"/>
      <w:outlineLvl w:val="1"/>
    </w:pPr>
    <w:rPr>
      <w:rFonts w:ascii="Cambria" w:hAnsi="Cambria"/>
      <w:b/>
      <w:bCs/>
      <w:sz w:val="48"/>
      <w:szCs w:val="48"/>
    </w:rPr>
  </w:style>
  <w:style w:type="character" w:customStyle="1" w:styleId="10">
    <w:name w:val="標題 1 字元"/>
    <w:rPr>
      <w:rFonts w:ascii="Cambria" w:eastAsia="新細明體" w:hAnsi="Cambria" w:cs="Times New Roman"/>
      <w:b/>
      <w:bCs/>
      <w:kern w:val="3"/>
      <w:sz w:val="52"/>
      <w:szCs w:val="52"/>
    </w:rPr>
  </w:style>
  <w:style w:type="character" w:customStyle="1" w:styleId="20">
    <w:name w:val="標題 2 字元"/>
    <w:rPr>
      <w:rFonts w:ascii="Cambria" w:eastAsia="新細明體" w:hAnsi="Cambria" w:cs="Times New Roman"/>
      <w:b/>
      <w:bCs/>
      <w:sz w:val="48"/>
      <w:szCs w:val="48"/>
    </w:rPr>
  </w:style>
  <w:style w:type="character" w:customStyle="1" w:styleId="30">
    <w:name w:val="標題 3 字元"/>
    <w:rPr>
      <w:rFonts w:ascii="Cambria" w:eastAsia="新細明體" w:hAnsi="Cambria" w:cs="Times New Roman"/>
      <w:b/>
      <w:bCs/>
      <w:kern w:val="0"/>
      <w:sz w:val="36"/>
      <w:szCs w:val="36"/>
    </w:rPr>
  </w:style>
  <w:style w:type="character" w:customStyle="1" w:styleId="40">
    <w:name w:val="標題 4 字元"/>
    <w:rPr>
      <w:rFonts w:ascii="Cambria" w:eastAsia="新細明體" w:hAnsi="Cambria" w:cs="Times New Roman"/>
      <w:kern w:val="0"/>
      <w:sz w:val="36"/>
      <w:szCs w:val="36"/>
    </w:rPr>
  </w:style>
  <w:style w:type="character" w:customStyle="1" w:styleId="50">
    <w:name w:val="標題 5 字元"/>
    <w:rPr>
      <w:rFonts w:ascii="Cambria" w:eastAsia="新細明體" w:hAnsi="Cambria" w:cs="Times New Roman"/>
      <w:b/>
      <w:bCs/>
      <w:kern w:val="0"/>
      <w:sz w:val="36"/>
      <w:szCs w:val="36"/>
    </w:rPr>
  </w:style>
  <w:style w:type="paragraph" w:styleId="a5">
    <w:name w:val="header"/>
    <w:basedOn w:val="a1"/>
    <w:pPr>
      <w:tabs>
        <w:tab w:val="center" w:pos="4153"/>
        <w:tab w:val="right" w:pos="8306"/>
      </w:tabs>
      <w:snapToGrid w:val="0"/>
    </w:pPr>
    <w:rPr>
      <w:kern w:val="0"/>
      <w:sz w:val="20"/>
      <w:szCs w:val="20"/>
    </w:rPr>
  </w:style>
  <w:style w:type="character" w:customStyle="1" w:styleId="a6">
    <w:name w:val="頁首 字元"/>
    <w:rPr>
      <w:sz w:val="20"/>
      <w:szCs w:val="20"/>
    </w:rPr>
  </w:style>
  <w:style w:type="paragraph" w:styleId="a7">
    <w:name w:val="footer"/>
    <w:basedOn w:val="a1"/>
    <w:pPr>
      <w:tabs>
        <w:tab w:val="center" w:pos="4153"/>
        <w:tab w:val="right" w:pos="8306"/>
      </w:tabs>
      <w:snapToGrid w:val="0"/>
    </w:pPr>
    <w:rPr>
      <w:kern w:val="0"/>
      <w:sz w:val="20"/>
      <w:szCs w:val="20"/>
    </w:rPr>
  </w:style>
  <w:style w:type="character" w:customStyle="1" w:styleId="a8">
    <w:name w:val="頁尾 字元"/>
    <w:rPr>
      <w:sz w:val="20"/>
      <w:szCs w:val="20"/>
    </w:rPr>
  </w:style>
  <w:style w:type="paragraph" w:styleId="a9">
    <w:name w:val="Balloon Text"/>
    <w:basedOn w:val="a1"/>
    <w:rPr>
      <w:rFonts w:ascii="Cambria" w:hAnsi="Cambria"/>
      <w:kern w:val="0"/>
      <w:sz w:val="18"/>
      <w:szCs w:val="18"/>
    </w:rPr>
  </w:style>
  <w:style w:type="character" w:customStyle="1" w:styleId="aa">
    <w:name w:val="註解方塊文字 字元"/>
    <w:rPr>
      <w:rFonts w:ascii="Cambria" w:eastAsia="新細明體" w:hAnsi="Cambria" w:cs="Times New Roman"/>
      <w:sz w:val="18"/>
      <w:szCs w:val="18"/>
    </w:rPr>
  </w:style>
  <w:style w:type="paragraph" w:styleId="ab">
    <w:name w:val="TOC Heading"/>
    <w:basedOn w:val="1"/>
    <w:next w:val="a1"/>
    <w:pPr>
      <w:keepLines/>
      <w:widowControl/>
      <w:spacing w:before="480" w:after="0" w:line="276" w:lineRule="auto"/>
    </w:pPr>
    <w:rPr>
      <w:color w:val="365F91"/>
      <w:kern w:val="0"/>
      <w:sz w:val="28"/>
      <w:szCs w:val="28"/>
    </w:rPr>
  </w:style>
  <w:style w:type="paragraph" w:styleId="22">
    <w:name w:val="toc 2"/>
    <w:basedOn w:val="a1"/>
    <w:next w:val="a1"/>
    <w:pPr>
      <w:widowControl/>
      <w:tabs>
        <w:tab w:val="right" w:leader="dot" w:pos="8296"/>
      </w:tabs>
      <w:spacing w:after="100" w:line="276" w:lineRule="auto"/>
      <w:ind w:left="3840" w:hanging="3840"/>
    </w:pPr>
    <w:rPr>
      <w:rFonts w:ascii="標楷體" w:eastAsia="標楷體" w:hAnsi="標楷體"/>
      <w:kern w:val="0"/>
      <w:szCs w:val="24"/>
    </w:rPr>
  </w:style>
  <w:style w:type="paragraph" w:styleId="11">
    <w:name w:val="toc 1"/>
    <w:basedOn w:val="a1"/>
    <w:next w:val="a1"/>
    <w:pPr>
      <w:widowControl/>
      <w:spacing w:after="100" w:line="276" w:lineRule="auto"/>
    </w:pPr>
    <w:rPr>
      <w:kern w:val="0"/>
      <w:sz w:val="22"/>
    </w:rPr>
  </w:style>
  <w:style w:type="paragraph" w:styleId="31">
    <w:name w:val="toc 3"/>
    <w:basedOn w:val="a1"/>
    <w:next w:val="a1"/>
    <w:pPr>
      <w:widowControl/>
      <w:spacing w:after="100" w:line="276" w:lineRule="auto"/>
      <w:ind w:left="440"/>
    </w:pPr>
    <w:rPr>
      <w:kern w:val="0"/>
      <w:sz w:val="22"/>
    </w:rPr>
  </w:style>
  <w:style w:type="character" w:styleId="ac">
    <w:name w:val="Hyperlink"/>
    <w:rPr>
      <w:color w:val="0000FF"/>
      <w:u w:val="single"/>
    </w:rPr>
  </w:style>
  <w:style w:type="paragraph" w:styleId="ad">
    <w:name w:val="List Paragraph"/>
    <w:basedOn w:val="a1"/>
    <w:uiPriority w:val="34"/>
    <w:qFormat/>
    <w:pPr>
      <w:ind w:left="480"/>
    </w:pPr>
  </w:style>
  <w:style w:type="paragraph" w:styleId="ae">
    <w:name w:val="No Spacing"/>
    <w:pPr>
      <w:widowControl w:val="0"/>
      <w:suppressAutoHyphens/>
    </w:pPr>
    <w:rPr>
      <w:kern w:val="3"/>
      <w:sz w:val="24"/>
      <w:szCs w:val="22"/>
    </w:rPr>
  </w:style>
  <w:style w:type="paragraph" w:customStyle="1" w:styleId="Default">
    <w:name w:val="Default"/>
    <w:pPr>
      <w:widowControl w:val="0"/>
      <w:suppressAutoHyphens/>
      <w:autoSpaceDE w:val="0"/>
    </w:pPr>
    <w:rPr>
      <w:rFonts w:ascii="標楷體" w:hAnsi="標楷體" w:cs="標楷體"/>
      <w:color w:val="000000"/>
      <w:sz w:val="24"/>
      <w:szCs w:val="24"/>
    </w:rPr>
  </w:style>
  <w:style w:type="character" w:styleId="af">
    <w:name w:val="Strong"/>
    <w:rPr>
      <w:b/>
      <w:bCs/>
    </w:rPr>
  </w:style>
  <w:style w:type="paragraph" w:styleId="Web">
    <w:name w:val="Normal (Web)"/>
    <w:basedOn w:val="a1"/>
    <w:pPr>
      <w:widowControl/>
      <w:spacing w:after="240"/>
    </w:pPr>
    <w:rPr>
      <w:rFonts w:ascii="新細明體" w:hAnsi="新細明體" w:cs="新細明體"/>
      <w:color w:val="111111"/>
      <w:kern w:val="0"/>
      <w:sz w:val="18"/>
      <w:szCs w:val="18"/>
    </w:rPr>
  </w:style>
  <w:style w:type="paragraph" w:styleId="9">
    <w:name w:val="toc 9"/>
    <w:basedOn w:val="a1"/>
    <w:next w:val="a1"/>
    <w:pPr>
      <w:ind w:left="3840"/>
    </w:pPr>
  </w:style>
  <w:style w:type="paragraph" w:customStyle="1" w:styleId="12">
    <w:name w:val="清單段落1"/>
    <w:basedOn w:val="a1"/>
    <w:pPr>
      <w:ind w:left="480"/>
    </w:pPr>
    <w:rPr>
      <w:rFonts w:ascii="Times New Roman" w:hAnsi="Times New Roman"/>
      <w:szCs w:val="24"/>
    </w:rPr>
  </w:style>
  <w:style w:type="paragraph" w:customStyle="1" w:styleId="13">
    <w:name w:val="註解方塊文字1"/>
    <w:basedOn w:val="a1"/>
    <w:next w:val="a9"/>
    <w:rPr>
      <w:rFonts w:ascii="Cambria" w:hAnsi="Cambria"/>
      <w:sz w:val="18"/>
      <w:szCs w:val="18"/>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rPr>
  </w:style>
  <w:style w:type="character" w:customStyle="1" w:styleId="HTML0">
    <w:name w:val="HTML 預設格式 字元"/>
    <w:rPr>
      <w:rFonts w:ascii="細明體" w:eastAsia="細明體" w:hAnsi="細明體" w:cs="Times New Roman"/>
      <w:kern w:val="0"/>
      <w:sz w:val="20"/>
      <w:szCs w:val="24"/>
    </w:rPr>
  </w:style>
  <w:style w:type="character" w:customStyle="1" w:styleId="af0">
    <w:name w:val="章節附註文字 字元"/>
    <w:rPr>
      <w:rFonts w:ascii="Calibri" w:eastAsia="新細明體" w:hAnsi="Calibri" w:cs="Times New Roman"/>
      <w:kern w:val="0"/>
      <w:sz w:val="20"/>
      <w:szCs w:val="20"/>
    </w:rPr>
  </w:style>
  <w:style w:type="paragraph" w:styleId="af1">
    <w:name w:val="endnote text"/>
    <w:basedOn w:val="a1"/>
    <w:pPr>
      <w:snapToGrid w:val="0"/>
    </w:pPr>
    <w:rPr>
      <w:kern w:val="0"/>
      <w:sz w:val="20"/>
      <w:szCs w:val="20"/>
    </w:rPr>
  </w:style>
  <w:style w:type="character" w:customStyle="1" w:styleId="af2">
    <w:name w:val="註腳文字 字元"/>
    <w:rPr>
      <w:rFonts w:ascii="Calibri" w:eastAsia="新細明體" w:hAnsi="Calibri" w:cs="Times New Roman"/>
      <w:kern w:val="0"/>
      <w:sz w:val="20"/>
      <w:szCs w:val="20"/>
    </w:rPr>
  </w:style>
  <w:style w:type="paragraph" w:styleId="af3">
    <w:name w:val="footnote text"/>
    <w:basedOn w:val="a1"/>
    <w:pPr>
      <w:snapToGrid w:val="0"/>
    </w:pPr>
    <w:rPr>
      <w:kern w:val="0"/>
      <w:sz w:val="20"/>
      <w:szCs w:val="20"/>
    </w:rPr>
  </w:style>
  <w:style w:type="character" w:customStyle="1" w:styleId="ft">
    <w:name w:val="ft"/>
    <w:rPr>
      <w:rFonts w:cs="Times New Roman"/>
    </w:rPr>
  </w:style>
  <w:style w:type="character" w:styleId="af4">
    <w:name w:val="Emphasis"/>
    <w:rPr>
      <w:rFonts w:cs="Times New Roman"/>
      <w:i/>
    </w:rPr>
  </w:style>
  <w:style w:type="character" w:customStyle="1" w:styleId="st1">
    <w:name w:val="st1"/>
    <w:rPr>
      <w:rFonts w:cs="Times New Roman"/>
    </w:rPr>
  </w:style>
  <w:style w:type="paragraph" w:styleId="af5">
    <w:name w:val="annotation text"/>
    <w:basedOn w:val="a1"/>
    <w:rPr>
      <w:kern w:val="0"/>
      <w:sz w:val="20"/>
      <w:szCs w:val="20"/>
    </w:rPr>
  </w:style>
  <w:style w:type="character" w:customStyle="1" w:styleId="af6">
    <w:name w:val="註解文字 字元"/>
    <w:rPr>
      <w:rFonts w:ascii="Calibri" w:eastAsia="新細明體" w:hAnsi="Calibri" w:cs="Times New Roman"/>
      <w:kern w:val="0"/>
      <w:sz w:val="20"/>
      <w:szCs w:val="20"/>
    </w:rPr>
  </w:style>
  <w:style w:type="character" w:customStyle="1" w:styleId="af7">
    <w:name w:val="註解主旨 字元"/>
    <w:rPr>
      <w:rFonts w:ascii="Calibri" w:eastAsia="新細明體" w:hAnsi="Calibri" w:cs="Times New Roman"/>
      <w:b/>
      <w:bCs/>
      <w:kern w:val="0"/>
      <w:sz w:val="20"/>
      <w:szCs w:val="20"/>
    </w:rPr>
  </w:style>
  <w:style w:type="paragraph" w:styleId="af8">
    <w:name w:val="annotation subject"/>
    <w:basedOn w:val="af5"/>
    <w:next w:val="af5"/>
    <w:rPr>
      <w:b/>
      <w:bCs/>
    </w:rPr>
  </w:style>
  <w:style w:type="paragraph" w:styleId="af9">
    <w:name w:val="Note Heading"/>
    <w:basedOn w:val="a1"/>
    <w:next w:val="a1"/>
    <w:pPr>
      <w:jc w:val="center"/>
    </w:pPr>
    <w:rPr>
      <w:rFonts w:ascii="Times New Roman" w:eastAsia="標楷體" w:hAnsi="Times New Roman"/>
      <w:kern w:val="0"/>
      <w:sz w:val="20"/>
      <w:szCs w:val="24"/>
    </w:rPr>
  </w:style>
  <w:style w:type="character" w:customStyle="1" w:styleId="afa">
    <w:name w:val="註釋標題 字元"/>
    <w:rPr>
      <w:rFonts w:ascii="Times New Roman" w:eastAsia="標楷體" w:hAnsi="Times New Roman" w:cs="Times New Roman"/>
      <w:kern w:val="0"/>
      <w:sz w:val="20"/>
      <w:szCs w:val="24"/>
    </w:rPr>
  </w:style>
  <w:style w:type="paragraph" w:styleId="afb">
    <w:name w:val="Closing"/>
    <w:basedOn w:val="a1"/>
    <w:pPr>
      <w:ind w:left="100"/>
    </w:pPr>
    <w:rPr>
      <w:rFonts w:ascii="Times New Roman" w:eastAsia="標楷體" w:hAnsi="Times New Roman"/>
      <w:kern w:val="0"/>
      <w:sz w:val="20"/>
      <w:szCs w:val="24"/>
    </w:rPr>
  </w:style>
  <w:style w:type="character" w:customStyle="1" w:styleId="afc">
    <w:name w:val="結語 字元"/>
    <w:rPr>
      <w:rFonts w:ascii="Times New Roman" w:eastAsia="標楷體" w:hAnsi="Times New Roman" w:cs="Times New Roman"/>
      <w:kern w:val="0"/>
      <w:sz w:val="20"/>
      <w:szCs w:val="24"/>
    </w:rPr>
  </w:style>
  <w:style w:type="character" w:customStyle="1" w:styleId="apple-converted-space">
    <w:name w:val="apple-converted-space"/>
  </w:style>
  <w:style w:type="paragraph" w:styleId="afd">
    <w:name w:val="caption"/>
    <w:basedOn w:val="a1"/>
    <w:next w:val="a1"/>
    <w:rPr>
      <w:sz w:val="20"/>
      <w:szCs w:val="20"/>
    </w:rPr>
  </w:style>
  <w:style w:type="character" w:customStyle="1" w:styleId="interref">
    <w:name w:val="interref"/>
  </w:style>
  <w:style w:type="paragraph" w:styleId="afe">
    <w:name w:val="table of figures"/>
    <w:basedOn w:val="a1"/>
    <w:next w:val="a1"/>
    <w:pPr>
      <w:ind w:left="400" w:hanging="200"/>
    </w:pPr>
    <w:rPr>
      <w:rFonts w:eastAsia="標楷體"/>
    </w:rPr>
  </w:style>
  <w:style w:type="character" w:customStyle="1" w:styleId="aff">
    <w:name w:val="標題 字元"/>
    <w:rPr>
      <w:rFonts w:ascii="Times New Roman" w:eastAsia="標楷體" w:hAnsi="Times New Roman" w:cs="Times New Roman"/>
      <w:b/>
      <w:bCs/>
      <w:kern w:val="0"/>
      <w:sz w:val="32"/>
      <w:szCs w:val="32"/>
    </w:rPr>
  </w:style>
  <w:style w:type="paragraph" w:styleId="a">
    <w:name w:val="List Bullet"/>
    <w:basedOn w:val="a1"/>
    <w:pPr>
      <w:numPr>
        <w:numId w:val="2"/>
      </w:numPr>
      <w:tabs>
        <w:tab w:val="left" w:pos="361"/>
      </w:tabs>
      <w:jc w:val="both"/>
    </w:pPr>
    <w:rPr>
      <w:rFonts w:ascii="Times New Roman" w:eastAsia="標楷體" w:hAnsi="Times New Roman"/>
      <w:szCs w:val="28"/>
    </w:rPr>
  </w:style>
  <w:style w:type="character" w:customStyle="1" w:styleId="style31">
    <w:name w:val="style31"/>
    <w:rPr>
      <w:rFonts w:ascii="標楷體" w:eastAsia="標楷體" w:hAnsi="標楷體"/>
      <w:sz w:val="36"/>
    </w:rPr>
  </w:style>
  <w:style w:type="character" w:customStyle="1" w:styleId="aff0">
    <w:name w:val="文件引導模式 字元"/>
    <w:rPr>
      <w:rFonts w:ascii="新細明體" w:eastAsia="新細明體" w:hAnsi="新細明體" w:cs="Times New Roman"/>
      <w:kern w:val="0"/>
      <w:sz w:val="18"/>
      <w:szCs w:val="18"/>
    </w:rPr>
  </w:style>
  <w:style w:type="paragraph" w:styleId="aff1">
    <w:name w:val="Document Map"/>
    <w:basedOn w:val="a1"/>
    <w:rPr>
      <w:rFonts w:ascii="新細明體" w:hAnsi="新細明體"/>
      <w:kern w:val="0"/>
      <w:sz w:val="18"/>
      <w:szCs w:val="18"/>
    </w:rPr>
  </w:style>
  <w:style w:type="character" w:customStyle="1" w:styleId="googqs-tidbit1">
    <w:name w:val="goog_qs-tidbit1"/>
  </w:style>
  <w:style w:type="paragraph" w:customStyle="1" w:styleId="229tpM">
    <w:name w:val="22_表中_9tpM"/>
    <w:basedOn w:val="a1"/>
    <w:pPr>
      <w:overflowPunct w:val="0"/>
      <w:autoSpaceDE w:val="0"/>
      <w:snapToGrid w:val="0"/>
      <w:spacing w:before="40" w:after="40"/>
      <w:ind w:left="113" w:right="113"/>
    </w:pPr>
    <w:rPr>
      <w:rFonts w:ascii="MS Mincho" w:eastAsia="MS Mincho" w:hAnsi="MS Mincho"/>
      <w:sz w:val="18"/>
      <w:szCs w:val="24"/>
      <w:lang w:eastAsia="ja-JP"/>
    </w:rPr>
  </w:style>
  <w:style w:type="character" w:customStyle="1" w:styleId="apple-style-span">
    <w:name w:val="apple-style-span"/>
    <w:rPr>
      <w:rFonts w:cs="Times New Roman"/>
    </w:rPr>
  </w:style>
  <w:style w:type="paragraph" w:styleId="aff2">
    <w:name w:val="Body Text Indent"/>
    <w:basedOn w:val="a1"/>
    <w:pPr>
      <w:ind w:firstLine="540"/>
    </w:pPr>
    <w:rPr>
      <w:rFonts w:ascii="Times New Roman" w:hAnsi="Times New Roman"/>
      <w:kern w:val="0"/>
      <w:sz w:val="20"/>
      <w:szCs w:val="24"/>
    </w:rPr>
  </w:style>
  <w:style w:type="character" w:customStyle="1" w:styleId="aff3">
    <w:name w:val="本文縮排 字元"/>
    <w:rPr>
      <w:rFonts w:ascii="Times New Roman" w:eastAsia="新細明體" w:hAnsi="Times New Roman" w:cs="Times New Roman"/>
      <w:kern w:val="0"/>
      <w:sz w:val="20"/>
      <w:szCs w:val="24"/>
    </w:rPr>
  </w:style>
  <w:style w:type="paragraph" w:styleId="aff4">
    <w:name w:val="Body Text"/>
    <w:basedOn w:val="a1"/>
    <w:pPr>
      <w:spacing w:after="120"/>
    </w:pPr>
    <w:rPr>
      <w:rFonts w:ascii="Times New Roman" w:hAnsi="Times New Roman"/>
      <w:kern w:val="0"/>
      <w:sz w:val="20"/>
      <w:szCs w:val="24"/>
    </w:rPr>
  </w:style>
  <w:style w:type="character" w:customStyle="1" w:styleId="aff5">
    <w:name w:val="本文 字元"/>
    <w:rPr>
      <w:rFonts w:ascii="Times New Roman" w:eastAsia="新細明體" w:hAnsi="Times New Roman" w:cs="Times New Roman"/>
      <w:kern w:val="0"/>
      <w:sz w:val="20"/>
      <w:szCs w:val="24"/>
    </w:rPr>
  </w:style>
  <w:style w:type="character" w:styleId="aff6">
    <w:name w:val="page number"/>
    <w:rPr>
      <w:rFonts w:cs="Times New Roman"/>
    </w:rPr>
  </w:style>
  <w:style w:type="paragraph" w:customStyle="1" w:styleId="031">
    <w:name w:val="03_1_本文"/>
    <w:basedOn w:val="a1"/>
    <w:pPr>
      <w:overflowPunct w:val="0"/>
      <w:autoSpaceDE w:val="0"/>
      <w:snapToGrid w:val="0"/>
      <w:spacing w:line="358" w:lineRule="exact"/>
      <w:ind w:left="210"/>
      <w:jc w:val="both"/>
    </w:pPr>
    <w:rPr>
      <w:rFonts w:ascii="MS Mincho" w:eastAsia="MS Mincho" w:hAnsi="MS Mincho"/>
      <w:sz w:val="21"/>
      <w:szCs w:val="24"/>
      <w:lang w:eastAsia="ja-JP"/>
    </w:rPr>
  </w:style>
  <w:style w:type="paragraph" w:customStyle="1" w:styleId="04">
    <w:name w:val="04_・スタイル"/>
    <w:basedOn w:val="a1"/>
    <w:pPr>
      <w:overflowPunct w:val="0"/>
      <w:autoSpaceDE w:val="0"/>
      <w:snapToGrid w:val="0"/>
      <w:spacing w:line="358" w:lineRule="exact"/>
      <w:ind w:left="420" w:hanging="210"/>
      <w:jc w:val="both"/>
    </w:pPr>
    <w:rPr>
      <w:rFonts w:ascii="MS Mincho" w:eastAsia="MS Mincho" w:hAnsi="MS Mincho"/>
      <w:sz w:val="21"/>
      <w:szCs w:val="24"/>
      <w:lang w:eastAsia="ja-JP"/>
    </w:rPr>
  </w:style>
  <w:style w:type="paragraph" w:customStyle="1" w:styleId="07">
    <w:name w:val="07_①スタイル"/>
    <w:basedOn w:val="a1"/>
    <w:pPr>
      <w:overflowPunct w:val="0"/>
      <w:autoSpaceDE w:val="0"/>
      <w:snapToGrid w:val="0"/>
      <w:spacing w:line="358" w:lineRule="exact"/>
      <w:ind w:left="630" w:hanging="210"/>
      <w:jc w:val="both"/>
    </w:pPr>
    <w:rPr>
      <w:rFonts w:ascii="MS Mincho" w:eastAsia="MS Mincho" w:hAnsi="MS Mincho"/>
      <w:sz w:val="21"/>
      <w:szCs w:val="24"/>
      <w:lang w:eastAsia="ja-JP"/>
    </w:rPr>
  </w:style>
  <w:style w:type="paragraph" w:customStyle="1" w:styleId="02112ptG">
    <w:name w:val="02_1_タイトル_12ptG"/>
    <w:basedOn w:val="a1"/>
    <w:pPr>
      <w:overflowPunct w:val="0"/>
      <w:autoSpaceDE w:val="0"/>
      <w:snapToGrid w:val="0"/>
      <w:spacing w:line="340" w:lineRule="exact"/>
      <w:ind w:left="238" w:hanging="238"/>
      <w:jc w:val="both"/>
    </w:pPr>
    <w:rPr>
      <w:rFonts w:ascii="MS Gothic" w:eastAsia="MS Gothic" w:hAnsi="MS Gothic"/>
      <w:szCs w:val="24"/>
      <w:lang w:eastAsia="ja-JP"/>
    </w:rPr>
  </w:style>
  <w:style w:type="paragraph" w:customStyle="1" w:styleId="061">
    <w:name w:val="06_(1)_本文"/>
    <w:basedOn w:val="a1"/>
    <w:pPr>
      <w:overflowPunct w:val="0"/>
      <w:autoSpaceDE w:val="0"/>
      <w:snapToGrid w:val="0"/>
      <w:spacing w:line="358" w:lineRule="exact"/>
      <w:ind w:left="420"/>
      <w:jc w:val="both"/>
    </w:pPr>
    <w:rPr>
      <w:rFonts w:ascii="MS Mincho" w:eastAsia="MS Mincho" w:hAnsi="MS Mincho"/>
      <w:sz w:val="21"/>
      <w:szCs w:val="24"/>
      <w:lang w:eastAsia="ja-JP"/>
    </w:rPr>
  </w:style>
  <w:style w:type="paragraph" w:customStyle="1" w:styleId="210">
    <w:name w:val="21_図・ªíタイトル"/>
    <w:basedOn w:val="a1"/>
    <w:pPr>
      <w:overflowPunct w:val="0"/>
      <w:autoSpaceDE w:val="0"/>
      <w:snapToGrid w:val="0"/>
      <w:spacing w:line="358" w:lineRule="exact"/>
      <w:jc w:val="center"/>
    </w:pPr>
    <w:rPr>
      <w:rFonts w:ascii="MS Gothic" w:eastAsia="MS Gothic" w:hAnsi="MS Gothic"/>
      <w:sz w:val="21"/>
      <w:szCs w:val="24"/>
      <w:lang w:eastAsia="ja-JP"/>
    </w:rPr>
  </w:style>
  <w:style w:type="paragraph" w:customStyle="1" w:styleId="120">
    <w:name w:val="12_◦ _スタイル"/>
    <w:basedOn w:val="a1"/>
    <w:pPr>
      <w:overflowPunct w:val="0"/>
      <w:autoSpaceDE w:val="0"/>
      <w:snapToGrid w:val="0"/>
      <w:spacing w:line="358" w:lineRule="exact"/>
      <w:ind w:left="839" w:hanging="210"/>
      <w:jc w:val="both"/>
    </w:pPr>
    <w:rPr>
      <w:rFonts w:ascii="MS Mincho" w:eastAsia="MS Mincho" w:hAnsi="MS Mincho"/>
      <w:sz w:val="21"/>
      <w:szCs w:val="24"/>
      <w:lang w:eastAsia="ja-JP"/>
    </w:rPr>
  </w:style>
  <w:style w:type="character" w:customStyle="1" w:styleId="vtp-binding-byline2">
    <w:name w:val="vtp-binding-byline2"/>
    <w:rPr>
      <w:rFonts w:cs="Times New Roman"/>
    </w:rPr>
  </w:style>
  <w:style w:type="character" w:customStyle="1" w:styleId="vtp-byline-text2">
    <w:name w:val="vtp-byline-text2"/>
    <w:rPr>
      <w:rFonts w:cs="Times New Roman"/>
    </w:rPr>
  </w:style>
  <w:style w:type="paragraph" w:customStyle="1" w:styleId="14">
    <w:name w:val="無間距1"/>
    <w:pPr>
      <w:widowControl w:val="0"/>
      <w:suppressAutoHyphens/>
    </w:pPr>
    <w:rPr>
      <w:kern w:val="3"/>
      <w:sz w:val="24"/>
      <w:szCs w:val="22"/>
    </w:rPr>
  </w:style>
  <w:style w:type="paragraph" w:customStyle="1" w:styleId="110">
    <w:name w:val="標題 11"/>
    <w:basedOn w:val="a1"/>
    <w:next w:val="a1"/>
    <w:pPr>
      <w:keepNext/>
      <w:spacing w:before="180" w:after="180" w:line="720" w:lineRule="auto"/>
      <w:outlineLvl w:val="0"/>
    </w:pPr>
    <w:rPr>
      <w:rFonts w:ascii="Cambria" w:hAnsi="Cambria"/>
      <w:b/>
      <w:bCs/>
      <w:sz w:val="52"/>
      <w:szCs w:val="52"/>
    </w:rPr>
  </w:style>
  <w:style w:type="character" w:customStyle="1" w:styleId="15">
    <w:name w:val="超連結1"/>
    <w:rPr>
      <w:color w:val="0000FF"/>
      <w:u w:val="single"/>
    </w:rPr>
  </w:style>
  <w:style w:type="character" w:customStyle="1" w:styleId="111">
    <w:name w:val="標題 1 字元1"/>
    <w:rPr>
      <w:rFonts w:ascii="Cambria" w:eastAsia="新細明體" w:hAnsi="Cambria"/>
      <w:b/>
      <w:kern w:val="3"/>
      <w:sz w:val="52"/>
    </w:rPr>
  </w:style>
  <w:style w:type="paragraph" w:styleId="41">
    <w:name w:val="toc 4"/>
    <w:basedOn w:val="a1"/>
    <w:next w:val="a1"/>
    <w:pPr>
      <w:ind w:left="1440"/>
    </w:pPr>
  </w:style>
  <w:style w:type="paragraph" w:styleId="51">
    <w:name w:val="toc 5"/>
    <w:basedOn w:val="a1"/>
    <w:next w:val="a1"/>
    <w:pPr>
      <w:ind w:left="1920"/>
    </w:pPr>
  </w:style>
  <w:style w:type="paragraph" w:styleId="6">
    <w:name w:val="toc 6"/>
    <w:basedOn w:val="a1"/>
    <w:next w:val="a1"/>
    <w:pPr>
      <w:ind w:left="2400"/>
    </w:pPr>
  </w:style>
  <w:style w:type="paragraph" w:styleId="7">
    <w:name w:val="toc 7"/>
    <w:basedOn w:val="a1"/>
    <w:next w:val="a1"/>
    <w:pPr>
      <w:ind w:left="2880"/>
    </w:pPr>
  </w:style>
  <w:style w:type="paragraph" w:styleId="8">
    <w:name w:val="toc 8"/>
    <w:basedOn w:val="a1"/>
    <w:next w:val="a1"/>
    <w:pPr>
      <w:ind w:left="3360"/>
    </w:pPr>
  </w:style>
  <w:style w:type="paragraph" w:customStyle="1" w:styleId="aff7">
    <w:name w:val="表一"/>
    <w:basedOn w:val="a1"/>
    <w:pPr>
      <w:spacing w:line="480" w:lineRule="exact"/>
      <w:ind w:firstLine="560"/>
    </w:pPr>
    <w:rPr>
      <w:rFonts w:ascii="Times New Roman" w:eastAsia="標楷體" w:hAnsi="Times New Roman"/>
      <w:sz w:val="28"/>
      <w:szCs w:val="28"/>
    </w:rPr>
  </w:style>
  <w:style w:type="character" w:styleId="aff8">
    <w:name w:val="footnote reference"/>
    <w:rPr>
      <w:position w:val="0"/>
      <w:vertAlign w:val="superscript"/>
    </w:rPr>
  </w:style>
  <w:style w:type="paragraph" w:customStyle="1" w:styleId="aff9">
    <w:name w:val="圖一"/>
    <w:basedOn w:val="a1"/>
    <w:pPr>
      <w:spacing w:line="480" w:lineRule="exact"/>
      <w:ind w:firstLine="560"/>
      <w:jc w:val="center"/>
    </w:pPr>
    <w:rPr>
      <w:rFonts w:ascii="Times New Roman" w:eastAsia="標楷體" w:hAnsi="Times New Roman"/>
      <w:sz w:val="28"/>
      <w:szCs w:val="28"/>
    </w:rPr>
  </w:style>
  <w:style w:type="paragraph" w:customStyle="1" w:styleId="16">
    <w:name w:val="內文1"/>
    <w:basedOn w:val="a1"/>
    <w:pPr>
      <w:snapToGrid w:val="0"/>
      <w:spacing w:line="240" w:lineRule="atLeast"/>
      <w:ind w:firstLine="574"/>
      <w:jc w:val="both"/>
    </w:pPr>
    <w:rPr>
      <w:rFonts w:ascii="Times New Roman" w:eastAsia="標楷體" w:hAnsi="Times New Roman"/>
      <w:sz w:val="28"/>
      <w:szCs w:val="20"/>
    </w:rPr>
  </w:style>
  <w:style w:type="paragraph" w:customStyle="1" w:styleId="021">
    <w:name w:val="021"/>
    <w:basedOn w:val="a1"/>
    <w:pPr>
      <w:widowControl/>
      <w:spacing w:before="100" w:after="100"/>
    </w:pPr>
    <w:rPr>
      <w:rFonts w:ascii="Arial Unicode MS" w:eastAsia="Arial Unicode MS" w:hAnsi="Arial Unicode MS" w:cs="Arial Unicode MS"/>
      <w:kern w:val="0"/>
      <w:szCs w:val="24"/>
    </w:rPr>
  </w:style>
  <w:style w:type="character" w:customStyle="1" w:styleId="affa">
    <w:name w:val="日期 字元"/>
    <w:basedOn w:val="a2"/>
  </w:style>
  <w:style w:type="paragraph" w:styleId="affb">
    <w:name w:val="Date"/>
    <w:basedOn w:val="a1"/>
    <w:next w:val="a1"/>
    <w:pPr>
      <w:jc w:val="right"/>
    </w:pPr>
  </w:style>
  <w:style w:type="paragraph" w:customStyle="1" w:styleId="23">
    <w:name w:val="清單段落2"/>
    <w:basedOn w:val="a1"/>
    <w:pPr>
      <w:ind w:left="480"/>
    </w:pPr>
    <w:rPr>
      <w:rFonts w:ascii="Times New Roman" w:hAnsi="Times New Roman"/>
      <w:szCs w:val="24"/>
    </w:rPr>
  </w:style>
  <w:style w:type="paragraph" w:customStyle="1" w:styleId="24">
    <w:name w:val="無間距2"/>
    <w:pPr>
      <w:widowControl w:val="0"/>
      <w:suppressAutoHyphens/>
    </w:pPr>
    <w:rPr>
      <w:kern w:val="3"/>
      <w:sz w:val="24"/>
      <w:szCs w:val="22"/>
    </w:rPr>
  </w:style>
  <w:style w:type="numbering" w:customStyle="1" w:styleId="LFO2">
    <w:name w:val="LFO2"/>
    <w:basedOn w:val="a4"/>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pPr>
      <w:widowControl w:val="0"/>
      <w:suppressAutoHyphens/>
    </w:pPr>
    <w:rPr>
      <w:kern w:val="3"/>
      <w:sz w:val="24"/>
      <w:szCs w:val="22"/>
    </w:rPr>
  </w:style>
  <w:style w:type="paragraph" w:styleId="1">
    <w:name w:val="heading 1"/>
    <w:basedOn w:val="a1"/>
    <w:next w:val="a1"/>
    <w:qFormat/>
    <w:pPr>
      <w:keepNext/>
      <w:spacing w:before="180" w:after="180" w:line="720" w:lineRule="auto"/>
      <w:outlineLvl w:val="0"/>
    </w:pPr>
    <w:rPr>
      <w:rFonts w:ascii="Cambria" w:hAnsi="Cambria"/>
      <w:b/>
      <w:bCs/>
      <w:sz w:val="52"/>
      <w:szCs w:val="52"/>
    </w:rPr>
  </w:style>
  <w:style w:type="paragraph" w:styleId="2">
    <w:name w:val="heading 2"/>
    <w:basedOn w:val="a1"/>
    <w:next w:val="a1"/>
    <w:pPr>
      <w:keepNext/>
      <w:spacing w:line="720" w:lineRule="auto"/>
      <w:outlineLvl w:val="1"/>
    </w:pPr>
    <w:rPr>
      <w:rFonts w:ascii="Cambria" w:hAnsi="Cambria"/>
      <w:b/>
      <w:bCs/>
      <w:kern w:val="0"/>
      <w:sz w:val="48"/>
      <w:szCs w:val="48"/>
    </w:rPr>
  </w:style>
  <w:style w:type="paragraph" w:styleId="3">
    <w:name w:val="heading 3"/>
    <w:basedOn w:val="a1"/>
    <w:next w:val="a1"/>
    <w:pPr>
      <w:keepNext/>
      <w:spacing w:line="720" w:lineRule="auto"/>
      <w:outlineLvl w:val="2"/>
    </w:pPr>
    <w:rPr>
      <w:rFonts w:ascii="Cambria" w:hAnsi="Cambria"/>
      <w:b/>
      <w:bCs/>
      <w:kern w:val="0"/>
      <w:sz w:val="36"/>
      <w:szCs w:val="36"/>
    </w:rPr>
  </w:style>
  <w:style w:type="paragraph" w:styleId="4">
    <w:name w:val="heading 4"/>
    <w:basedOn w:val="a1"/>
    <w:next w:val="a1"/>
    <w:pPr>
      <w:keepNext/>
      <w:spacing w:line="720" w:lineRule="auto"/>
      <w:outlineLvl w:val="3"/>
    </w:pPr>
    <w:rPr>
      <w:rFonts w:ascii="Cambria" w:hAnsi="Cambria"/>
      <w:kern w:val="0"/>
      <w:sz w:val="36"/>
      <w:szCs w:val="36"/>
    </w:rPr>
  </w:style>
  <w:style w:type="paragraph" w:styleId="5">
    <w:name w:val="heading 5"/>
    <w:basedOn w:val="a1"/>
    <w:next w:val="a1"/>
    <w:pPr>
      <w:keepNext/>
      <w:spacing w:line="720" w:lineRule="auto"/>
      <w:ind w:left="200"/>
      <w:outlineLvl w:val="4"/>
    </w:pPr>
    <w:rPr>
      <w:rFonts w:ascii="Cambria" w:hAnsi="Cambria"/>
      <w:b/>
      <w:bCs/>
      <w:kern w:val="0"/>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WWOutlineListStyle">
    <w:name w:val="WW_OutlineListStyle"/>
    <w:basedOn w:val="a4"/>
    <w:pPr>
      <w:numPr>
        <w:numId w:val="1"/>
      </w:numPr>
    </w:pPr>
  </w:style>
  <w:style w:type="paragraph" w:styleId="a0">
    <w:name w:val="Title"/>
    <w:basedOn w:val="a1"/>
    <w:next w:val="a1"/>
    <w:pPr>
      <w:numPr>
        <w:numId w:val="1"/>
      </w:numPr>
      <w:spacing w:before="240"/>
      <w:jc w:val="both"/>
      <w:outlineLvl w:val="0"/>
    </w:pPr>
    <w:rPr>
      <w:rFonts w:ascii="Times New Roman" w:eastAsia="標楷體" w:hAnsi="Times New Roman"/>
      <w:b/>
      <w:bCs/>
      <w:kern w:val="0"/>
      <w:sz w:val="32"/>
      <w:szCs w:val="32"/>
    </w:rPr>
  </w:style>
  <w:style w:type="paragraph" w:customStyle="1" w:styleId="21">
    <w:name w:val="標題 21"/>
    <w:basedOn w:val="a1"/>
    <w:next w:val="a1"/>
    <w:pPr>
      <w:keepNext/>
      <w:spacing w:line="720" w:lineRule="auto"/>
      <w:outlineLvl w:val="1"/>
    </w:pPr>
    <w:rPr>
      <w:rFonts w:ascii="Cambria" w:hAnsi="Cambria"/>
      <w:b/>
      <w:bCs/>
      <w:sz w:val="48"/>
      <w:szCs w:val="48"/>
    </w:rPr>
  </w:style>
  <w:style w:type="character" w:customStyle="1" w:styleId="10">
    <w:name w:val="標題 1 字元"/>
    <w:rPr>
      <w:rFonts w:ascii="Cambria" w:eastAsia="新細明體" w:hAnsi="Cambria" w:cs="Times New Roman"/>
      <w:b/>
      <w:bCs/>
      <w:kern w:val="3"/>
      <w:sz w:val="52"/>
      <w:szCs w:val="52"/>
    </w:rPr>
  </w:style>
  <w:style w:type="character" w:customStyle="1" w:styleId="20">
    <w:name w:val="標題 2 字元"/>
    <w:rPr>
      <w:rFonts w:ascii="Cambria" w:eastAsia="新細明體" w:hAnsi="Cambria" w:cs="Times New Roman"/>
      <w:b/>
      <w:bCs/>
      <w:sz w:val="48"/>
      <w:szCs w:val="48"/>
    </w:rPr>
  </w:style>
  <w:style w:type="character" w:customStyle="1" w:styleId="30">
    <w:name w:val="標題 3 字元"/>
    <w:rPr>
      <w:rFonts w:ascii="Cambria" w:eastAsia="新細明體" w:hAnsi="Cambria" w:cs="Times New Roman"/>
      <w:b/>
      <w:bCs/>
      <w:kern w:val="0"/>
      <w:sz w:val="36"/>
      <w:szCs w:val="36"/>
    </w:rPr>
  </w:style>
  <w:style w:type="character" w:customStyle="1" w:styleId="40">
    <w:name w:val="標題 4 字元"/>
    <w:rPr>
      <w:rFonts w:ascii="Cambria" w:eastAsia="新細明體" w:hAnsi="Cambria" w:cs="Times New Roman"/>
      <w:kern w:val="0"/>
      <w:sz w:val="36"/>
      <w:szCs w:val="36"/>
    </w:rPr>
  </w:style>
  <w:style w:type="character" w:customStyle="1" w:styleId="50">
    <w:name w:val="標題 5 字元"/>
    <w:rPr>
      <w:rFonts w:ascii="Cambria" w:eastAsia="新細明體" w:hAnsi="Cambria" w:cs="Times New Roman"/>
      <w:b/>
      <w:bCs/>
      <w:kern w:val="0"/>
      <w:sz w:val="36"/>
      <w:szCs w:val="36"/>
    </w:rPr>
  </w:style>
  <w:style w:type="paragraph" w:styleId="a5">
    <w:name w:val="header"/>
    <w:basedOn w:val="a1"/>
    <w:pPr>
      <w:tabs>
        <w:tab w:val="center" w:pos="4153"/>
        <w:tab w:val="right" w:pos="8306"/>
      </w:tabs>
      <w:snapToGrid w:val="0"/>
    </w:pPr>
    <w:rPr>
      <w:kern w:val="0"/>
      <w:sz w:val="20"/>
      <w:szCs w:val="20"/>
    </w:rPr>
  </w:style>
  <w:style w:type="character" w:customStyle="1" w:styleId="a6">
    <w:name w:val="頁首 字元"/>
    <w:rPr>
      <w:sz w:val="20"/>
      <w:szCs w:val="20"/>
    </w:rPr>
  </w:style>
  <w:style w:type="paragraph" w:styleId="a7">
    <w:name w:val="footer"/>
    <w:basedOn w:val="a1"/>
    <w:pPr>
      <w:tabs>
        <w:tab w:val="center" w:pos="4153"/>
        <w:tab w:val="right" w:pos="8306"/>
      </w:tabs>
      <w:snapToGrid w:val="0"/>
    </w:pPr>
    <w:rPr>
      <w:kern w:val="0"/>
      <w:sz w:val="20"/>
      <w:szCs w:val="20"/>
    </w:rPr>
  </w:style>
  <w:style w:type="character" w:customStyle="1" w:styleId="a8">
    <w:name w:val="頁尾 字元"/>
    <w:rPr>
      <w:sz w:val="20"/>
      <w:szCs w:val="20"/>
    </w:rPr>
  </w:style>
  <w:style w:type="paragraph" w:styleId="a9">
    <w:name w:val="Balloon Text"/>
    <w:basedOn w:val="a1"/>
    <w:rPr>
      <w:rFonts w:ascii="Cambria" w:hAnsi="Cambria"/>
      <w:kern w:val="0"/>
      <w:sz w:val="18"/>
      <w:szCs w:val="18"/>
    </w:rPr>
  </w:style>
  <w:style w:type="character" w:customStyle="1" w:styleId="aa">
    <w:name w:val="註解方塊文字 字元"/>
    <w:rPr>
      <w:rFonts w:ascii="Cambria" w:eastAsia="新細明體" w:hAnsi="Cambria" w:cs="Times New Roman"/>
      <w:sz w:val="18"/>
      <w:szCs w:val="18"/>
    </w:rPr>
  </w:style>
  <w:style w:type="paragraph" w:styleId="ab">
    <w:name w:val="TOC Heading"/>
    <w:basedOn w:val="1"/>
    <w:next w:val="a1"/>
    <w:pPr>
      <w:keepLines/>
      <w:widowControl/>
      <w:spacing w:before="480" w:after="0" w:line="276" w:lineRule="auto"/>
    </w:pPr>
    <w:rPr>
      <w:color w:val="365F91"/>
      <w:kern w:val="0"/>
      <w:sz w:val="28"/>
      <w:szCs w:val="28"/>
    </w:rPr>
  </w:style>
  <w:style w:type="paragraph" w:styleId="22">
    <w:name w:val="toc 2"/>
    <w:basedOn w:val="a1"/>
    <w:next w:val="a1"/>
    <w:pPr>
      <w:widowControl/>
      <w:tabs>
        <w:tab w:val="right" w:leader="dot" w:pos="8296"/>
      </w:tabs>
      <w:spacing w:after="100" w:line="276" w:lineRule="auto"/>
      <w:ind w:left="3840" w:hanging="3840"/>
    </w:pPr>
    <w:rPr>
      <w:rFonts w:ascii="標楷體" w:eastAsia="標楷體" w:hAnsi="標楷體"/>
      <w:kern w:val="0"/>
      <w:szCs w:val="24"/>
    </w:rPr>
  </w:style>
  <w:style w:type="paragraph" w:styleId="11">
    <w:name w:val="toc 1"/>
    <w:basedOn w:val="a1"/>
    <w:next w:val="a1"/>
    <w:pPr>
      <w:widowControl/>
      <w:spacing w:after="100" w:line="276" w:lineRule="auto"/>
    </w:pPr>
    <w:rPr>
      <w:kern w:val="0"/>
      <w:sz w:val="22"/>
    </w:rPr>
  </w:style>
  <w:style w:type="paragraph" w:styleId="31">
    <w:name w:val="toc 3"/>
    <w:basedOn w:val="a1"/>
    <w:next w:val="a1"/>
    <w:pPr>
      <w:widowControl/>
      <w:spacing w:after="100" w:line="276" w:lineRule="auto"/>
      <w:ind w:left="440"/>
    </w:pPr>
    <w:rPr>
      <w:kern w:val="0"/>
      <w:sz w:val="22"/>
    </w:rPr>
  </w:style>
  <w:style w:type="character" w:styleId="ac">
    <w:name w:val="Hyperlink"/>
    <w:rPr>
      <w:color w:val="0000FF"/>
      <w:u w:val="single"/>
    </w:rPr>
  </w:style>
  <w:style w:type="paragraph" w:styleId="ad">
    <w:name w:val="List Paragraph"/>
    <w:basedOn w:val="a1"/>
    <w:uiPriority w:val="34"/>
    <w:qFormat/>
    <w:pPr>
      <w:ind w:left="480"/>
    </w:pPr>
  </w:style>
  <w:style w:type="paragraph" w:styleId="ae">
    <w:name w:val="No Spacing"/>
    <w:pPr>
      <w:widowControl w:val="0"/>
      <w:suppressAutoHyphens/>
    </w:pPr>
    <w:rPr>
      <w:kern w:val="3"/>
      <w:sz w:val="24"/>
      <w:szCs w:val="22"/>
    </w:rPr>
  </w:style>
  <w:style w:type="paragraph" w:customStyle="1" w:styleId="Default">
    <w:name w:val="Default"/>
    <w:pPr>
      <w:widowControl w:val="0"/>
      <w:suppressAutoHyphens/>
      <w:autoSpaceDE w:val="0"/>
    </w:pPr>
    <w:rPr>
      <w:rFonts w:ascii="標楷體" w:hAnsi="標楷體" w:cs="標楷體"/>
      <w:color w:val="000000"/>
      <w:sz w:val="24"/>
      <w:szCs w:val="24"/>
    </w:rPr>
  </w:style>
  <w:style w:type="character" w:styleId="af">
    <w:name w:val="Strong"/>
    <w:rPr>
      <w:b/>
      <w:bCs/>
    </w:rPr>
  </w:style>
  <w:style w:type="paragraph" w:styleId="Web">
    <w:name w:val="Normal (Web)"/>
    <w:basedOn w:val="a1"/>
    <w:pPr>
      <w:widowControl/>
      <w:spacing w:after="240"/>
    </w:pPr>
    <w:rPr>
      <w:rFonts w:ascii="新細明體" w:hAnsi="新細明體" w:cs="新細明體"/>
      <w:color w:val="111111"/>
      <w:kern w:val="0"/>
      <w:sz w:val="18"/>
      <w:szCs w:val="18"/>
    </w:rPr>
  </w:style>
  <w:style w:type="paragraph" w:styleId="9">
    <w:name w:val="toc 9"/>
    <w:basedOn w:val="a1"/>
    <w:next w:val="a1"/>
    <w:pPr>
      <w:ind w:left="3840"/>
    </w:pPr>
  </w:style>
  <w:style w:type="paragraph" w:customStyle="1" w:styleId="12">
    <w:name w:val="清單段落1"/>
    <w:basedOn w:val="a1"/>
    <w:pPr>
      <w:ind w:left="480"/>
    </w:pPr>
    <w:rPr>
      <w:rFonts w:ascii="Times New Roman" w:hAnsi="Times New Roman"/>
      <w:szCs w:val="24"/>
    </w:rPr>
  </w:style>
  <w:style w:type="paragraph" w:customStyle="1" w:styleId="13">
    <w:name w:val="註解方塊文字1"/>
    <w:basedOn w:val="a1"/>
    <w:next w:val="a9"/>
    <w:rPr>
      <w:rFonts w:ascii="Cambria" w:hAnsi="Cambria"/>
      <w:sz w:val="18"/>
      <w:szCs w:val="18"/>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rPr>
  </w:style>
  <w:style w:type="character" w:customStyle="1" w:styleId="HTML0">
    <w:name w:val="HTML 預設格式 字元"/>
    <w:rPr>
      <w:rFonts w:ascii="細明體" w:eastAsia="細明體" w:hAnsi="細明體" w:cs="Times New Roman"/>
      <w:kern w:val="0"/>
      <w:sz w:val="20"/>
      <w:szCs w:val="24"/>
    </w:rPr>
  </w:style>
  <w:style w:type="character" w:customStyle="1" w:styleId="af0">
    <w:name w:val="章節附註文字 字元"/>
    <w:rPr>
      <w:rFonts w:ascii="Calibri" w:eastAsia="新細明體" w:hAnsi="Calibri" w:cs="Times New Roman"/>
      <w:kern w:val="0"/>
      <w:sz w:val="20"/>
      <w:szCs w:val="20"/>
    </w:rPr>
  </w:style>
  <w:style w:type="paragraph" w:styleId="af1">
    <w:name w:val="endnote text"/>
    <w:basedOn w:val="a1"/>
    <w:pPr>
      <w:snapToGrid w:val="0"/>
    </w:pPr>
    <w:rPr>
      <w:kern w:val="0"/>
      <w:sz w:val="20"/>
      <w:szCs w:val="20"/>
    </w:rPr>
  </w:style>
  <w:style w:type="character" w:customStyle="1" w:styleId="af2">
    <w:name w:val="註腳文字 字元"/>
    <w:rPr>
      <w:rFonts w:ascii="Calibri" w:eastAsia="新細明體" w:hAnsi="Calibri" w:cs="Times New Roman"/>
      <w:kern w:val="0"/>
      <w:sz w:val="20"/>
      <w:szCs w:val="20"/>
    </w:rPr>
  </w:style>
  <w:style w:type="paragraph" w:styleId="af3">
    <w:name w:val="footnote text"/>
    <w:basedOn w:val="a1"/>
    <w:pPr>
      <w:snapToGrid w:val="0"/>
    </w:pPr>
    <w:rPr>
      <w:kern w:val="0"/>
      <w:sz w:val="20"/>
      <w:szCs w:val="20"/>
    </w:rPr>
  </w:style>
  <w:style w:type="character" w:customStyle="1" w:styleId="ft">
    <w:name w:val="ft"/>
    <w:rPr>
      <w:rFonts w:cs="Times New Roman"/>
    </w:rPr>
  </w:style>
  <w:style w:type="character" w:styleId="af4">
    <w:name w:val="Emphasis"/>
    <w:rPr>
      <w:rFonts w:cs="Times New Roman"/>
      <w:i/>
    </w:rPr>
  </w:style>
  <w:style w:type="character" w:customStyle="1" w:styleId="st1">
    <w:name w:val="st1"/>
    <w:rPr>
      <w:rFonts w:cs="Times New Roman"/>
    </w:rPr>
  </w:style>
  <w:style w:type="paragraph" w:styleId="af5">
    <w:name w:val="annotation text"/>
    <w:basedOn w:val="a1"/>
    <w:rPr>
      <w:kern w:val="0"/>
      <w:sz w:val="20"/>
      <w:szCs w:val="20"/>
    </w:rPr>
  </w:style>
  <w:style w:type="character" w:customStyle="1" w:styleId="af6">
    <w:name w:val="註解文字 字元"/>
    <w:rPr>
      <w:rFonts w:ascii="Calibri" w:eastAsia="新細明體" w:hAnsi="Calibri" w:cs="Times New Roman"/>
      <w:kern w:val="0"/>
      <w:sz w:val="20"/>
      <w:szCs w:val="20"/>
    </w:rPr>
  </w:style>
  <w:style w:type="character" w:customStyle="1" w:styleId="af7">
    <w:name w:val="註解主旨 字元"/>
    <w:rPr>
      <w:rFonts w:ascii="Calibri" w:eastAsia="新細明體" w:hAnsi="Calibri" w:cs="Times New Roman"/>
      <w:b/>
      <w:bCs/>
      <w:kern w:val="0"/>
      <w:sz w:val="20"/>
      <w:szCs w:val="20"/>
    </w:rPr>
  </w:style>
  <w:style w:type="paragraph" w:styleId="af8">
    <w:name w:val="annotation subject"/>
    <w:basedOn w:val="af5"/>
    <w:next w:val="af5"/>
    <w:rPr>
      <w:b/>
      <w:bCs/>
    </w:rPr>
  </w:style>
  <w:style w:type="paragraph" w:styleId="af9">
    <w:name w:val="Note Heading"/>
    <w:basedOn w:val="a1"/>
    <w:next w:val="a1"/>
    <w:pPr>
      <w:jc w:val="center"/>
    </w:pPr>
    <w:rPr>
      <w:rFonts w:ascii="Times New Roman" w:eastAsia="標楷體" w:hAnsi="Times New Roman"/>
      <w:kern w:val="0"/>
      <w:sz w:val="20"/>
      <w:szCs w:val="24"/>
    </w:rPr>
  </w:style>
  <w:style w:type="character" w:customStyle="1" w:styleId="afa">
    <w:name w:val="註釋標題 字元"/>
    <w:rPr>
      <w:rFonts w:ascii="Times New Roman" w:eastAsia="標楷體" w:hAnsi="Times New Roman" w:cs="Times New Roman"/>
      <w:kern w:val="0"/>
      <w:sz w:val="20"/>
      <w:szCs w:val="24"/>
    </w:rPr>
  </w:style>
  <w:style w:type="paragraph" w:styleId="afb">
    <w:name w:val="Closing"/>
    <w:basedOn w:val="a1"/>
    <w:pPr>
      <w:ind w:left="100"/>
    </w:pPr>
    <w:rPr>
      <w:rFonts w:ascii="Times New Roman" w:eastAsia="標楷體" w:hAnsi="Times New Roman"/>
      <w:kern w:val="0"/>
      <w:sz w:val="20"/>
      <w:szCs w:val="24"/>
    </w:rPr>
  </w:style>
  <w:style w:type="character" w:customStyle="1" w:styleId="afc">
    <w:name w:val="結語 字元"/>
    <w:rPr>
      <w:rFonts w:ascii="Times New Roman" w:eastAsia="標楷體" w:hAnsi="Times New Roman" w:cs="Times New Roman"/>
      <w:kern w:val="0"/>
      <w:sz w:val="20"/>
      <w:szCs w:val="24"/>
    </w:rPr>
  </w:style>
  <w:style w:type="character" w:customStyle="1" w:styleId="apple-converted-space">
    <w:name w:val="apple-converted-space"/>
  </w:style>
  <w:style w:type="paragraph" w:styleId="afd">
    <w:name w:val="caption"/>
    <w:basedOn w:val="a1"/>
    <w:next w:val="a1"/>
    <w:rPr>
      <w:sz w:val="20"/>
      <w:szCs w:val="20"/>
    </w:rPr>
  </w:style>
  <w:style w:type="character" w:customStyle="1" w:styleId="interref">
    <w:name w:val="interref"/>
  </w:style>
  <w:style w:type="paragraph" w:styleId="afe">
    <w:name w:val="table of figures"/>
    <w:basedOn w:val="a1"/>
    <w:next w:val="a1"/>
    <w:pPr>
      <w:ind w:left="400" w:hanging="200"/>
    </w:pPr>
    <w:rPr>
      <w:rFonts w:eastAsia="標楷體"/>
    </w:rPr>
  </w:style>
  <w:style w:type="character" w:customStyle="1" w:styleId="aff">
    <w:name w:val="標題 字元"/>
    <w:rPr>
      <w:rFonts w:ascii="Times New Roman" w:eastAsia="標楷體" w:hAnsi="Times New Roman" w:cs="Times New Roman"/>
      <w:b/>
      <w:bCs/>
      <w:kern w:val="0"/>
      <w:sz w:val="32"/>
      <w:szCs w:val="32"/>
    </w:rPr>
  </w:style>
  <w:style w:type="paragraph" w:styleId="a">
    <w:name w:val="List Bullet"/>
    <w:basedOn w:val="a1"/>
    <w:pPr>
      <w:numPr>
        <w:numId w:val="2"/>
      </w:numPr>
      <w:tabs>
        <w:tab w:val="left" w:pos="361"/>
      </w:tabs>
      <w:jc w:val="both"/>
    </w:pPr>
    <w:rPr>
      <w:rFonts w:ascii="Times New Roman" w:eastAsia="標楷體" w:hAnsi="Times New Roman"/>
      <w:szCs w:val="28"/>
    </w:rPr>
  </w:style>
  <w:style w:type="character" w:customStyle="1" w:styleId="style31">
    <w:name w:val="style31"/>
    <w:rPr>
      <w:rFonts w:ascii="標楷體" w:eastAsia="標楷體" w:hAnsi="標楷體"/>
      <w:sz w:val="36"/>
    </w:rPr>
  </w:style>
  <w:style w:type="character" w:customStyle="1" w:styleId="aff0">
    <w:name w:val="文件引導模式 字元"/>
    <w:rPr>
      <w:rFonts w:ascii="新細明體" w:eastAsia="新細明體" w:hAnsi="新細明體" w:cs="Times New Roman"/>
      <w:kern w:val="0"/>
      <w:sz w:val="18"/>
      <w:szCs w:val="18"/>
    </w:rPr>
  </w:style>
  <w:style w:type="paragraph" w:styleId="aff1">
    <w:name w:val="Document Map"/>
    <w:basedOn w:val="a1"/>
    <w:rPr>
      <w:rFonts w:ascii="新細明體" w:hAnsi="新細明體"/>
      <w:kern w:val="0"/>
      <w:sz w:val="18"/>
      <w:szCs w:val="18"/>
    </w:rPr>
  </w:style>
  <w:style w:type="character" w:customStyle="1" w:styleId="googqs-tidbit1">
    <w:name w:val="goog_qs-tidbit1"/>
  </w:style>
  <w:style w:type="paragraph" w:customStyle="1" w:styleId="229tpM">
    <w:name w:val="22_表中_9tpM"/>
    <w:basedOn w:val="a1"/>
    <w:pPr>
      <w:overflowPunct w:val="0"/>
      <w:autoSpaceDE w:val="0"/>
      <w:snapToGrid w:val="0"/>
      <w:spacing w:before="40" w:after="40"/>
      <w:ind w:left="113" w:right="113"/>
    </w:pPr>
    <w:rPr>
      <w:rFonts w:ascii="MS Mincho" w:eastAsia="MS Mincho" w:hAnsi="MS Mincho"/>
      <w:sz w:val="18"/>
      <w:szCs w:val="24"/>
      <w:lang w:eastAsia="ja-JP"/>
    </w:rPr>
  </w:style>
  <w:style w:type="character" w:customStyle="1" w:styleId="apple-style-span">
    <w:name w:val="apple-style-span"/>
    <w:rPr>
      <w:rFonts w:cs="Times New Roman"/>
    </w:rPr>
  </w:style>
  <w:style w:type="paragraph" w:styleId="aff2">
    <w:name w:val="Body Text Indent"/>
    <w:basedOn w:val="a1"/>
    <w:pPr>
      <w:ind w:firstLine="540"/>
    </w:pPr>
    <w:rPr>
      <w:rFonts w:ascii="Times New Roman" w:hAnsi="Times New Roman"/>
      <w:kern w:val="0"/>
      <w:sz w:val="20"/>
      <w:szCs w:val="24"/>
    </w:rPr>
  </w:style>
  <w:style w:type="character" w:customStyle="1" w:styleId="aff3">
    <w:name w:val="本文縮排 字元"/>
    <w:rPr>
      <w:rFonts w:ascii="Times New Roman" w:eastAsia="新細明體" w:hAnsi="Times New Roman" w:cs="Times New Roman"/>
      <w:kern w:val="0"/>
      <w:sz w:val="20"/>
      <w:szCs w:val="24"/>
    </w:rPr>
  </w:style>
  <w:style w:type="paragraph" w:styleId="aff4">
    <w:name w:val="Body Text"/>
    <w:basedOn w:val="a1"/>
    <w:pPr>
      <w:spacing w:after="120"/>
    </w:pPr>
    <w:rPr>
      <w:rFonts w:ascii="Times New Roman" w:hAnsi="Times New Roman"/>
      <w:kern w:val="0"/>
      <w:sz w:val="20"/>
      <w:szCs w:val="24"/>
    </w:rPr>
  </w:style>
  <w:style w:type="character" w:customStyle="1" w:styleId="aff5">
    <w:name w:val="本文 字元"/>
    <w:rPr>
      <w:rFonts w:ascii="Times New Roman" w:eastAsia="新細明體" w:hAnsi="Times New Roman" w:cs="Times New Roman"/>
      <w:kern w:val="0"/>
      <w:sz w:val="20"/>
      <w:szCs w:val="24"/>
    </w:rPr>
  </w:style>
  <w:style w:type="character" w:styleId="aff6">
    <w:name w:val="page number"/>
    <w:rPr>
      <w:rFonts w:cs="Times New Roman"/>
    </w:rPr>
  </w:style>
  <w:style w:type="paragraph" w:customStyle="1" w:styleId="031">
    <w:name w:val="03_1_本文"/>
    <w:basedOn w:val="a1"/>
    <w:pPr>
      <w:overflowPunct w:val="0"/>
      <w:autoSpaceDE w:val="0"/>
      <w:snapToGrid w:val="0"/>
      <w:spacing w:line="358" w:lineRule="exact"/>
      <w:ind w:left="210"/>
      <w:jc w:val="both"/>
    </w:pPr>
    <w:rPr>
      <w:rFonts w:ascii="MS Mincho" w:eastAsia="MS Mincho" w:hAnsi="MS Mincho"/>
      <w:sz w:val="21"/>
      <w:szCs w:val="24"/>
      <w:lang w:eastAsia="ja-JP"/>
    </w:rPr>
  </w:style>
  <w:style w:type="paragraph" w:customStyle="1" w:styleId="04">
    <w:name w:val="04_・スタイル"/>
    <w:basedOn w:val="a1"/>
    <w:pPr>
      <w:overflowPunct w:val="0"/>
      <w:autoSpaceDE w:val="0"/>
      <w:snapToGrid w:val="0"/>
      <w:spacing w:line="358" w:lineRule="exact"/>
      <w:ind w:left="420" w:hanging="210"/>
      <w:jc w:val="both"/>
    </w:pPr>
    <w:rPr>
      <w:rFonts w:ascii="MS Mincho" w:eastAsia="MS Mincho" w:hAnsi="MS Mincho"/>
      <w:sz w:val="21"/>
      <w:szCs w:val="24"/>
      <w:lang w:eastAsia="ja-JP"/>
    </w:rPr>
  </w:style>
  <w:style w:type="paragraph" w:customStyle="1" w:styleId="07">
    <w:name w:val="07_①スタイル"/>
    <w:basedOn w:val="a1"/>
    <w:pPr>
      <w:overflowPunct w:val="0"/>
      <w:autoSpaceDE w:val="0"/>
      <w:snapToGrid w:val="0"/>
      <w:spacing w:line="358" w:lineRule="exact"/>
      <w:ind w:left="630" w:hanging="210"/>
      <w:jc w:val="both"/>
    </w:pPr>
    <w:rPr>
      <w:rFonts w:ascii="MS Mincho" w:eastAsia="MS Mincho" w:hAnsi="MS Mincho"/>
      <w:sz w:val="21"/>
      <w:szCs w:val="24"/>
      <w:lang w:eastAsia="ja-JP"/>
    </w:rPr>
  </w:style>
  <w:style w:type="paragraph" w:customStyle="1" w:styleId="02112ptG">
    <w:name w:val="02_1_タイトル_12ptG"/>
    <w:basedOn w:val="a1"/>
    <w:pPr>
      <w:overflowPunct w:val="0"/>
      <w:autoSpaceDE w:val="0"/>
      <w:snapToGrid w:val="0"/>
      <w:spacing w:line="340" w:lineRule="exact"/>
      <w:ind w:left="238" w:hanging="238"/>
      <w:jc w:val="both"/>
    </w:pPr>
    <w:rPr>
      <w:rFonts w:ascii="MS Gothic" w:eastAsia="MS Gothic" w:hAnsi="MS Gothic"/>
      <w:szCs w:val="24"/>
      <w:lang w:eastAsia="ja-JP"/>
    </w:rPr>
  </w:style>
  <w:style w:type="paragraph" w:customStyle="1" w:styleId="061">
    <w:name w:val="06_(1)_本文"/>
    <w:basedOn w:val="a1"/>
    <w:pPr>
      <w:overflowPunct w:val="0"/>
      <w:autoSpaceDE w:val="0"/>
      <w:snapToGrid w:val="0"/>
      <w:spacing w:line="358" w:lineRule="exact"/>
      <w:ind w:left="420"/>
      <w:jc w:val="both"/>
    </w:pPr>
    <w:rPr>
      <w:rFonts w:ascii="MS Mincho" w:eastAsia="MS Mincho" w:hAnsi="MS Mincho"/>
      <w:sz w:val="21"/>
      <w:szCs w:val="24"/>
      <w:lang w:eastAsia="ja-JP"/>
    </w:rPr>
  </w:style>
  <w:style w:type="paragraph" w:customStyle="1" w:styleId="210">
    <w:name w:val="21_図・ªíタイトル"/>
    <w:basedOn w:val="a1"/>
    <w:pPr>
      <w:overflowPunct w:val="0"/>
      <w:autoSpaceDE w:val="0"/>
      <w:snapToGrid w:val="0"/>
      <w:spacing w:line="358" w:lineRule="exact"/>
      <w:jc w:val="center"/>
    </w:pPr>
    <w:rPr>
      <w:rFonts w:ascii="MS Gothic" w:eastAsia="MS Gothic" w:hAnsi="MS Gothic"/>
      <w:sz w:val="21"/>
      <w:szCs w:val="24"/>
      <w:lang w:eastAsia="ja-JP"/>
    </w:rPr>
  </w:style>
  <w:style w:type="paragraph" w:customStyle="1" w:styleId="120">
    <w:name w:val="12_◦ _スタイル"/>
    <w:basedOn w:val="a1"/>
    <w:pPr>
      <w:overflowPunct w:val="0"/>
      <w:autoSpaceDE w:val="0"/>
      <w:snapToGrid w:val="0"/>
      <w:spacing w:line="358" w:lineRule="exact"/>
      <w:ind w:left="839" w:hanging="210"/>
      <w:jc w:val="both"/>
    </w:pPr>
    <w:rPr>
      <w:rFonts w:ascii="MS Mincho" w:eastAsia="MS Mincho" w:hAnsi="MS Mincho"/>
      <w:sz w:val="21"/>
      <w:szCs w:val="24"/>
      <w:lang w:eastAsia="ja-JP"/>
    </w:rPr>
  </w:style>
  <w:style w:type="character" w:customStyle="1" w:styleId="vtp-binding-byline2">
    <w:name w:val="vtp-binding-byline2"/>
    <w:rPr>
      <w:rFonts w:cs="Times New Roman"/>
    </w:rPr>
  </w:style>
  <w:style w:type="character" w:customStyle="1" w:styleId="vtp-byline-text2">
    <w:name w:val="vtp-byline-text2"/>
    <w:rPr>
      <w:rFonts w:cs="Times New Roman"/>
    </w:rPr>
  </w:style>
  <w:style w:type="paragraph" w:customStyle="1" w:styleId="14">
    <w:name w:val="無間距1"/>
    <w:pPr>
      <w:widowControl w:val="0"/>
      <w:suppressAutoHyphens/>
    </w:pPr>
    <w:rPr>
      <w:kern w:val="3"/>
      <w:sz w:val="24"/>
      <w:szCs w:val="22"/>
    </w:rPr>
  </w:style>
  <w:style w:type="paragraph" w:customStyle="1" w:styleId="110">
    <w:name w:val="標題 11"/>
    <w:basedOn w:val="a1"/>
    <w:next w:val="a1"/>
    <w:pPr>
      <w:keepNext/>
      <w:spacing w:before="180" w:after="180" w:line="720" w:lineRule="auto"/>
      <w:outlineLvl w:val="0"/>
    </w:pPr>
    <w:rPr>
      <w:rFonts w:ascii="Cambria" w:hAnsi="Cambria"/>
      <w:b/>
      <w:bCs/>
      <w:sz w:val="52"/>
      <w:szCs w:val="52"/>
    </w:rPr>
  </w:style>
  <w:style w:type="character" w:customStyle="1" w:styleId="15">
    <w:name w:val="超連結1"/>
    <w:rPr>
      <w:color w:val="0000FF"/>
      <w:u w:val="single"/>
    </w:rPr>
  </w:style>
  <w:style w:type="character" w:customStyle="1" w:styleId="111">
    <w:name w:val="標題 1 字元1"/>
    <w:rPr>
      <w:rFonts w:ascii="Cambria" w:eastAsia="新細明體" w:hAnsi="Cambria"/>
      <w:b/>
      <w:kern w:val="3"/>
      <w:sz w:val="52"/>
    </w:rPr>
  </w:style>
  <w:style w:type="paragraph" w:styleId="41">
    <w:name w:val="toc 4"/>
    <w:basedOn w:val="a1"/>
    <w:next w:val="a1"/>
    <w:pPr>
      <w:ind w:left="1440"/>
    </w:pPr>
  </w:style>
  <w:style w:type="paragraph" w:styleId="51">
    <w:name w:val="toc 5"/>
    <w:basedOn w:val="a1"/>
    <w:next w:val="a1"/>
    <w:pPr>
      <w:ind w:left="1920"/>
    </w:pPr>
  </w:style>
  <w:style w:type="paragraph" w:styleId="6">
    <w:name w:val="toc 6"/>
    <w:basedOn w:val="a1"/>
    <w:next w:val="a1"/>
    <w:pPr>
      <w:ind w:left="2400"/>
    </w:pPr>
  </w:style>
  <w:style w:type="paragraph" w:styleId="7">
    <w:name w:val="toc 7"/>
    <w:basedOn w:val="a1"/>
    <w:next w:val="a1"/>
    <w:pPr>
      <w:ind w:left="2880"/>
    </w:pPr>
  </w:style>
  <w:style w:type="paragraph" w:styleId="8">
    <w:name w:val="toc 8"/>
    <w:basedOn w:val="a1"/>
    <w:next w:val="a1"/>
    <w:pPr>
      <w:ind w:left="3360"/>
    </w:pPr>
  </w:style>
  <w:style w:type="paragraph" w:customStyle="1" w:styleId="aff7">
    <w:name w:val="表一"/>
    <w:basedOn w:val="a1"/>
    <w:pPr>
      <w:spacing w:line="480" w:lineRule="exact"/>
      <w:ind w:firstLine="560"/>
    </w:pPr>
    <w:rPr>
      <w:rFonts w:ascii="Times New Roman" w:eastAsia="標楷體" w:hAnsi="Times New Roman"/>
      <w:sz w:val="28"/>
      <w:szCs w:val="28"/>
    </w:rPr>
  </w:style>
  <w:style w:type="character" w:styleId="aff8">
    <w:name w:val="footnote reference"/>
    <w:rPr>
      <w:position w:val="0"/>
      <w:vertAlign w:val="superscript"/>
    </w:rPr>
  </w:style>
  <w:style w:type="paragraph" w:customStyle="1" w:styleId="aff9">
    <w:name w:val="圖一"/>
    <w:basedOn w:val="a1"/>
    <w:pPr>
      <w:spacing w:line="480" w:lineRule="exact"/>
      <w:ind w:firstLine="560"/>
      <w:jc w:val="center"/>
    </w:pPr>
    <w:rPr>
      <w:rFonts w:ascii="Times New Roman" w:eastAsia="標楷體" w:hAnsi="Times New Roman"/>
      <w:sz w:val="28"/>
      <w:szCs w:val="28"/>
    </w:rPr>
  </w:style>
  <w:style w:type="paragraph" w:customStyle="1" w:styleId="16">
    <w:name w:val="內文1"/>
    <w:basedOn w:val="a1"/>
    <w:pPr>
      <w:snapToGrid w:val="0"/>
      <w:spacing w:line="240" w:lineRule="atLeast"/>
      <w:ind w:firstLine="574"/>
      <w:jc w:val="both"/>
    </w:pPr>
    <w:rPr>
      <w:rFonts w:ascii="Times New Roman" w:eastAsia="標楷體" w:hAnsi="Times New Roman"/>
      <w:sz w:val="28"/>
      <w:szCs w:val="20"/>
    </w:rPr>
  </w:style>
  <w:style w:type="paragraph" w:customStyle="1" w:styleId="021">
    <w:name w:val="021"/>
    <w:basedOn w:val="a1"/>
    <w:pPr>
      <w:widowControl/>
      <w:spacing w:before="100" w:after="100"/>
    </w:pPr>
    <w:rPr>
      <w:rFonts w:ascii="Arial Unicode MS" w:eastAsia="Arial Unicode MS" w:hAnsi="Arial Unicode MS" w:cs="Arial Unicode MS"/>
      <w:kern w:val="0"/>
      <w:szCs w:val="24"/>
    </w:rPr>
  </w:style>
  <w:style w:type="character" w:customStyle="1" w:styleId="affa">
    <w:name w:val="日期 字元"/>
    <w:basedOn w:val="a2"/>
  </w:style>
  <w:style w:type="paragraph" w:styleId="affb">
    <w:name w:val="Date"/>
    <w:basedOn w:val="a1"/>
    <w:next w:val="a1"/>
    <w:pPr>
      <w:jc w:val="right"/>
    </w:pPr>
  </w:style>
  <w:style w:type="paragraph" w:customStyle="1" w:styleId="23">
    <w:name w:val="清單段落2"/>
    <w:basedOn w:val="a1"/>
    <w:pPr>
      <w:ind w:left="480"/>
    </w:pPr>
    <w:rPr>
      <w:rFonts w:ascii="Times New Roman" w:hAnsi="Times New Roman"/>
      <w:szCs w:val="24"/>
    </w:rPr>
  </w:style>
  <w:style w:type="paragraph" w:customStyle="1" w:styleId="24">
    <w:name w:val="無間距2"/>
    <w:pPr>
      <w:widowControl w:val="0"/>
      <w:suppressAutoHyphens/>
    </w:pPr>
    <w:rPr>
      <w:kern w:val="3"/>
      <w:sz w:val="24"/>
      <w:szCs w:val="22"/>
    </w:rPr>
  </w:style>
  <w:style w:type="numbering" w:customStyle="1" w:styleId="LFO2">
    <w:name w:val="LFO2"/>
    <w:basedOn w:val="a4"/>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1052</TotalTime>
  <Pages>1</Pages>
  <Words>1238</Words>
  <Characters>7063</Characters>
  <Application>Microsoft Office Word</Application>
  <DocSecurity>0</DocSecurity>
  <Lines>58</Lines>
  <Paragraphs>16</Paragraphs>
  <ScaleCrop>false</ScaleCrop>
  <Company/>
  <LinksUpToDate>false</LinksUpToDate>
  <CharactersWithSpaces>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Colling</dc:creator>
  <cp:lastModifiedBy>tea172</cp:lastModifiedBy>
  <cp:revision>16</cp:revision>
  <cp:lastPrinted>2023-07-19T02:19:00Z</cp:lastPrinted>
  <dcterms:created xsi:type="dcterms:W3CDTF">2020-08-15T00:27:00Z</dcterms:created>
  <dcterms:modified xsi:type="dcterms:W3CDTF">2023-08-21T02:07:00Z</dcterms:modified>
</cp:coreProperties>
</file>